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Enphase Energy,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1420 N. McDowell Blvd.</w:t>
            </w:r>
          </w:p>
        </w:tc>
        <w:tc>
          <w:tcPr>
            <w:tcW w:w="5080" w:type="dxa"/>
            <w:vAlign w:val="bottom"/>
          </w:tcPr>
          <w:p>
            <w:pPr>
              <w:spacing w:after="0"/>
              <w:rPr>
                <w:sz w:val="24"/>
                <w:szCs w:val="24"/>
                <w:color w:val="auto"/>
              </w:rPr>
            </w:pPr>
          </w:p>
        </w:tc>
      </w:t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Petaluma,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94954</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(707) 774-7000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2012, there were 40,829,676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QUARTERLY PERIOD ENDED SEPTEMBER 30, 2012</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10"/>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680" w:type="dxa"/>
            <w:vAlign w:val="bottom"/>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bottom w:val="single" w:sz="8" w:color="0000EE"/>
            </w:tcBorders>
            <w:gridSpan w:val="10"/>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9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28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Loss</w:t>
              </w:r>
            </w:hyperlink>
          </w:p>
        </w:tc>
        <w:tc>
          <w:tcPr>
            <w:tcW w:w="59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Stockholders’ Equity</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63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9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60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260" w:type="dxa"/>
            <w:vAlign w:val="bottom"/>
            <w:gridSpan w:val="2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9"/>
          </w:tcPr>
          <w:p>
            <w:pPr>
              <w:jc w:val="center"/>
              <w:ind w:right="384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2420" w:type="dxa"/>
            <w:vAlign w:val="bottom"/>
            <w:gridSpan w:val="9"/>
          </w:tcPr>
          <w:p>
            <w:pPr>
              <w:spacing w:after="0"/>
              <w:rPr>
                <w:sz w:val="24"/>
                <w:szCs w:val="24"/>
                <w:color w:val="auto"/>
              </w:rPr>
            </w:pPr>
          </w:p>
        </w:tc>
        <w:tc>
          <w:tcPr>
            <w:tcW w:w="2700" w:type="dxa"/>
            <w:vAlign w:val="bottom"/>
            <w:tcBorders>
              <w:top w:val="single" w:sz="8" w:color="0000EE"/>
            </w:tcBorders>
            <w:gridSpan w:val="7"/>
          </w:tcPr>
          <w:p>
            <w:pPr>
              <w:spacing w:after="0"/>
              <w:rPr>
                <w:sz w:val="24"/>
                <w:szCs w:val="24"/>
                <w:color w:val="auto"/>
              </w:rPr>
            </w:pPr>
          </w:p>
        </w:tc>
        <w:tc>
          <w:tcPr>
            <w:tcW w:w="38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0260" w:type="dxa"/>
            <w:vAlign w:val="bottom"/>
            <w:gridSpan w:val="2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Unregistered Sales of Equity Securities and Use of Proceeds</w:t>
              </w:r>
            </w:hyperlink>
          </w:p>
        </w:tc>
        <w:tc>
          <w:tcPr>
            <w:tcW w:w="6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26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Mine Safety Disclosure</w:t>
              </w:r>
            </w:hyperlink>
          </w:p>
        </w:tc>
        <w:tc>
          <w:tcPr>
            <w:tcW w:w="600" w:type="dxa"/>
            <w:vAlign w:val="bottom"/>
            <w:tcBorders>
              <w:top w:val="single" w:sz="8" w:color="0000EE"/>
            </w:tcBorders>
            <w:gridSpan w:val="2"/>
          </w:tcPr>
          <w:p>
            <w:pPr>
              <w:spacing w:after="0"/>
              <w:rPr>
                <w:sz w:val="17"/>
                <w:szCs w:val="17"/>
                <w:color w:val="auto"/>
              </w:rPr>
            </w:pPr>
          </w:p>
        </w:tc>
        <w:tc>
          <w:tcPr>
            <w:tcW w:w="80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260" w:type="dxa"/>
            <w:vAlign w:val="bottom"/>
            <w:gridSpan w:val="2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89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580" w:type="dxa"/>
            <w:vAlign w:val="bottom"/>
            <w:gridSpan w:val="2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w:t>
              </w:r>
            </w:hyperlink>
          </w:p>
        </w:tc>
        <w:tc>
          <w:tcPr>
            <w:tcW w:w="95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83"/>
        </w:trPr>
        <w:tc>
          <w:tcPr>
            <w:tcW w:w="780" w:type="dxa"/>
            <w:vAlign w:val="bottom"/>
          </w:tcPr>
          <w:p>
            <w:pPr>
              <w:spacing w:after="0"/>
              <w:rPr>
                <w:sz w:val="24"/>
                <w:szCs w:val="24"/>
                <w:color w:val="auto"/>
              </w:rPr>
            </w:pPr>
          </w:p>
        </w:tc>
        <w:tc>
          <w:tcPr>
            <w:tcW w:w="6300" w:type="dxa"/>
            <w:vAlign w:val="bottom"/>
            <w:gridSpan w:val="20"/>
          </w:tcPr>
          <w:p>
            <w:pPr>
              <w:ind w:left="49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jc w:val="center"/>
              <w:ind w:left="1472"/>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6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60" w:type="dxa"/>
            <w:vAlign w:val="bottom"/>
          </w:tcPr>
          <w:p>
            <w:pPr>
              <w:jc w:val="center"/>
              <w:ind w:left="1472"/>
              <w:spacing w:after="0"/>
              <w:rPr>
                <w:sz w:val="20"/>
                <w:szCs w:val="20"/>
                <w:color w:val="auto"/>
              </w:rPr>
            </w:pPr>
            <w:r>
              <w:rPr>
                <w:rFonts w:ascii="Arial" w:cs="Arial" w:eastAsia="Arial" w:hAnsi="Arial"/>
                <w:sz w:val="18"/>
                <w:szCs w:val="18"/>
                <w:b w:val="1"/>
                <w:bCs w:val="1"/>
                <w:color w:val="auto"/>
                <w:w w:val="96"/>
              </w:rPr>
              <w:t>ENPHASE ENERGY, INC.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60" w:type="dxa"/>
            <w:vAlign w:val="bottom"/>
          </w:tcPr>
          <w:p>
            <w:pPr>
              <w:jc w:val="center"/>
              <w:ind w:left="14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60" w:type="dxa"/>
            <w:vAlign w:val="bottom"/>
          </w:tcPr>
          <w:p>
            <w:pPr>
              <w:jc w:val="center"/>
              <w:ind w:left="1492"/>
              <w:spacing w:after="0"/>
              <w:rPr>
                <w:sz w:val="20"/>
                <w:szCs w:val="20"/>
                <w:color w:val="auto"/>
              </w:rPr>
            </w:pPr>
            <w:r>
              <w:rPr>
                <w:rFonts w:ascii="Arial" w:cs="Arial" w:eastAsia="Arial" w:hAnsi="Arial"/>
                <w:sz w:val="18"/>
                <w:szCs w:val="18"/>
                <w:b w:val="1"/>
                <w:bCs w:val="1"/>
                <w:color w:val="auto"/>
                <w:w w:val="87"/>
              </w:rPr>
              <w:t>(In thousands, except par value)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60" w:type="dxa"/>
            <w:vAlign w:val="bottom"/>
            <w:shd w:val="clear" w:color="auto" w:fill="CCEEFF"/>
          </w:tcPr>
          <w:p>
            <w:pPr>
              <w:ind w:left="3540"/>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allowances of $169 and $144 as of September 30, 2012 and December 31, 2011,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ind w:left="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32,734</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Prepayment to supplier</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6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98,131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81,787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6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15,197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term loans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38,141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52,370</w:t>
            </w:r>
          </w:p>
        </w:tc>
        <w:tc>
          <w:tcPr>
            <w:tcW w:w="0" w:type="dxa"/>
            <w:vAlign w:val="bottom"/>
          </w:tcPr>
          <w:p>
            <w:pPr>
              <w:spacing w:after="0"/>
              <w:rPr>
                <w:sz w:val="1"/>
                <w:szCs w:val="1"/>
                <w:color w:val="auto"/>
              </w:rPr>
            </w:pPr>
          </w:p>
        </w:tc>
      </w:tr>
      <w:tr>
        <w:trPr>
          <w:trHeight w:val="222"/>
        </w:trPr>
        <w:tc>
          <w:tcPr>
            <w:tcW w:w="9260" w:type="dxa"/>
            <w:vAlign w:val="bottom"/>
            <w:gridSpan w:val="3"/>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Warranty obligations</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11,904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5,103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Convertible notes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23,430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39,898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92,268</w:t>
            </w:r>
          </w:p>
        </w:tc>
        <w:tc>
          <w:tcPr>
            <w:tcW w:w="0" w:type="dxa"/>
            <w:vAlign w:val="bottom"/>
          </w:tcPr>
          <w:p>
            <w:pPr>
              <w:spacing w:after="0"/>
              <w:rPr>
                <w:sz w:val="1"/>
                <w:szCs w:val="1"/>
                <w:color w:val="auto"/>
              </w:rPr>
            </w:pPr>
          </w:p>
        </w:tc>
      </w:tr>
      <w:tr>
        <w:trPr>
          <w:trHeight w:val="221"/>
        </w:trPr>
        <w:tc>
          <w:tcPr>
            <w:tcW w:w="92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w w:val="94"/>
              </w:rPr>
              <w:t>Convertible preferred stock, $0.00001 par value, no shares authorized, issued or outstanding at September 30, 2012;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ind w:left="60"/>
              <w:spacing w:after="0"/>
              <w:rPr>
                <w:sz w:val="20"/>
                <w:szCs w:val="20"/>
                <w:color w:val="auto"/>
              </w:rPr>
            </w:pPr>
            <w:r>
              <w:rPr>
                <w:rFonts w:ascii="Arial" w:cs="Arial" w:eastAsia="Arial" w:hAnsi="Arial"/>
                <w:sz w:val="18"/>
                <w:szCs w:val="18"/>
                <w:color w:val="auto"/>
              </w:rPr>
              <w:t>23,559 shares authorized, 22,221 shares issued and outstanding at December 31, 2011</w:t>
            </w:r>
          </w:p>
        </w:tc>
        <w:tc>
          <w:tcPr>
            <w:tcW w:w="140" w:type="dxa"/>
            <w:vAlign w:val="bottom"/>
          </w:tcPr>
          <w:p>
            <w:pPr>
              <w:spacing w:after="0"/>
              <w:rPr>
                <w:sz w:val="19"/>
                <w:szCs w:val="19"/>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93,596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Preferred stock, $0.00001 par value, 10,000 shares authorized, none issued and outstanding at September 30, 2012; no</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 issued or outstanding at December 31, 2011</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w w:val="91"/>
              </w:rPr>
              <w:t>Common stock, $0.00001 par value, 100,000 shares authorized, 40,757 shares issued and outstanding at September 30,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tcPr>
          <w:p>
            <w:pPr>
              <w:ind w:left="60"/>
              <w:spacing w:after="0"/>
              <w:rPr>
                <w:sz w:val="20"/>
                <w:szCs w:val="20"/>
                <w:color w:val="auto"/>
              </w:rPr>
            </w:pPr>
            <w:r>
              <w:rPr>
                <w:rFonts w:ascii="Arial" w:cs="Arial" w:eastAsia="Arial" w:hAnsi="Arial"/>
                <w:sz w:val="18"/>
                <w:szCs w:val="18"/>
                <w:color w:val="auto"/>
              </w:rPr>
              <w:t>2012; 41,410 shares authorized, 1,698 shares issued and outstanding at December 31, 2011</w:t>
            </w:r>
          </w:p>
        </w:tc>
        <w:tc>
          <w:tcPr>
            <w:tcW w:w="140" w:type="dxa"/>
            <w:vAlign w:val="bottom"/>
          </w:tcPr>
          <w:p>
            <w:pPr>
              <w:spacing w:after="0"/>
              <w:rPr>
                <w:sz w:val="19"/>
                <w:szCs w:val="19"/>
                <w:color w:val="auto"/>
              </w:rPr>
            </w:pP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181,814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(119,284)</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60" w:type="dxa"/>
            <w:vAlign w:val="bottom"/>
            <w:vMerge w:val="restart"/>
          </w:tcPr>
          <w:p>
            <w:pPr>
              <w:ind w:left="28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62,528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60,813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44,728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159,110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44,489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36,185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119,878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76,391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16,324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39,232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15,998</w:t>
            </w:r>
          </w:p>
        </w:tc>
        <w:tc>
          <w:tcPr>
            <w:tcW w:w="0" w:type="dxa"/>
            <w:vAlign w:val="bottom"/>
          </w:tcPr>
          <w:p>
            <w:pPr>
              <w:spacing w:after="0"/>
              <w:rPr>
                <w:sz w:val="1"/>
                <w:szCs w:val="1"/>
                <w:color w:val="auto"/>
              </w:rPr>
            </w:pP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10,571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18,448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24,521</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14,978</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64,214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(8,197)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(6,435)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(24,982)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expense,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(8,777)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(7,176)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(8,907)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(7,176)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(30,476)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(26,753)</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used in computing net loss per share attributable to common stockholders, basic and 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40,755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27,356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4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$(8,907)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$(7,176)</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(30,476)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(26,753)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860"/>
              <w:spacing w:after="0"/>
              <w:rPr>
                <w:sz w:val="20"/>
                <w:szCs w:val="20"/>
                <w:color w:val="auto"/>
              </w:rPr>
            </w:pPr>
            <w:r>
              <w:rPr>
                <w:rFonts w:ascii="Arial" w:cs="Arial" w:eastAsia="Arial" w:hAnsi="Arial"/>
                <w:sz w:val="18"/>
                <w:szCs w:val="18"/>
                <w:color w:val="auto"/>
              </w:rPr>
              <w:t>Other comprehensive loss</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common stockholders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(9,009)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(7,280)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(30,561)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(26,847)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Convertible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Preferred Stock</w:t>
            </w:r>
          </w:p>
        </w:tc>
        <w:tc>
          <w:tcPr>
            <w:tcW w:w="130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Additional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37"/>
              <w:spacing w:after="0" w:line="116" w:lineRule="exact"/>
              <w:rPr>
                <w:sz w:val="20"/>
                <w:szCs w:val="20"/>
                <w:color w:val="auto"/>
              </w:rPr>
            </w:pPr>
            <w:r>
              <w:rPr>
                <w:rFonts w:ascii="Arial" w:cs="Arial" w:eastAsia="Arial" w:hAnsi="Arial"/>
                <w:sz w:val="12"/>
                <w:szCs w:val="12"/>
                <w:b w:val="1"/>
                <w:bCs w:val="1"/>
                <w:color w:val="auto"/>
              </w:rPr>
              <w:t>Paid-In</w:t>
            </w:r>
          </w:p>
        </w:tc>
        <w:tc>
          <w:tcPr>
            <w:tcW w:w="300" w:type="dxa"/>
            <w:vAlign w:val="bottom"/>
          </w:tcPr>
          <w:p>
            <w:pPr>
              <w:spacing w:after="0"/>
              <w:rPr>
                <w:sz w:val="10"/>
                <w:szCs w:val="10"/>
                <w:color w:val="auto"/>
              </w:rPr>
            </w:pPr>
          </w:p>
        </w:tc>
        <w:tc>
          <w:tcPr>
            <w:tcW w:w="94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1200" w:type="dxa"/>
            <w:vAlign w:val="bottom"/>
            <w:gridSpan w:val="3"/>
          </w:tcPr>
          <w:p>
            <w:pPr>
              <w:jc w:val="center"/>
              <w:ind w:right="280"/>
              <w:spacing w:after="0" w:line="116" w:lineRule="exact"/>
              <w:rPr>
                <w:sz w:val="20"/>
                <w:szCs w:val="20"/>
                <w:color w:val="auto"/>
              </w:rPr>
            </w:pPr>
            <w:r>
              <w:rPr>
                <w:rFonts w:ascii="Arial" w:cs="Arial" w:eastAsia="Arial" w:hAnsi="Arial"/>
                <w:sz w:val="12"/>
                <w:szCs w:val="12"/>
                <w:b w:val="1"/>
                <w:bCs w:val="1"/>
                <w:color w:val="auto"/>
                <w:w w:val="97"/>
              </w:rPr>
              <w:t>Comprehensive</w:t>
            </w:r>
          </w:p>
        </w:tc>
        <w:tc>
          <w:tcPr>
            <w:tcW w:w="90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Capital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BALANCE—December 31,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93,596</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(88,808)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rPr>
              <w:t>Common stock issued upon initial public</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rPr>
              <w:t>offering (“IPO”), net of offering costs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10,315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53,826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53,826</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Conversion of convertible preferred stock into</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upon IPO</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(22,221)</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(93,596)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25,171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93,596</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920" w:type="dxa"/>
            <w:vAlign w:val="bottom"/>
          </w:tcPr>
          <w:p>
            <w:pPr>
              <w:ind w:left="440"/>
              <w:spacing w:after="0"/>
              <w:rPr>
                <w:sz w:val="20"/>
                <w:szCs w:val="20"/>
                <w:color w:val="auto"/>
              </w:rPr>
            </w:pPr>
            <w:r>
              <w:rPr>
                <w:rFonts w:ascii="Arial" w:cs="Arial" w:eastAsia="Arial" w:hAnsi="Arial"/>
                <w:sz w:val="18"/>
                <w:szCs w:val="18"/>
                <w:color w:val="auto"/>
                <w:w w:val="98"/>
              </w:rPr>
              <w:t>Conversion of convertible notes and paid-in-</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660"/>
              <w:spacing w:after="0"/>
              <w:rPr>
                <w:sz w:val="20"/>
                <w:szCs w:val="20"/>
                <w:color w:val="auto"/>
              </w:rPr>
            </w:pPr>
            <w:r>
              <w:rPr>
                <w:rFonts w:ascii="Arial" w:cs="Arial" w:eastAsia="Arial" w:hAnsi="Arial"/>
                <w:sz w:val="18"/>
                <w:szCs w:val="18"/>
                <w:color w:val="auto"/>
                <w:w w:val="97"/>
              </w:rPr>
              <w:t>kind interest into common stock upon IPO</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21,204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21,204</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of convertible preferred stock</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warrants to common stock warrants upon</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IPO</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(30,476)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BALANCE—September 30, 2012</w:t>
            </w: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vMerge w:val="continue"/>
          </w:tcPr>
          <w:p>
            <w:pPr>
              <w:spacing w:after="0"/>
              <w:rPr>
                <w:sz w:val="19"/>
                <w:szCs w:val="19"/>
                <w:color w:val="auto"/>
              </w:rPr>
            </w:pPr>
          </w:p>
        </w:tc>
        <w:tc>
          <w:tcPr>
            <w:tcW w:w="6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40,757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181,814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(119,284)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62,528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(30,476)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Net loss on disposal of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fair value of convertible preferred stock warrants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Prepayment to supplier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accrued and other liabilities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Deferred revenues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(52,274)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(23,229)</w:t>
            </w: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(11,054)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issuance of convertible notes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private placement of common stock</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term loans and debt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 and debt issuance costs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Repayments of term loans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in IPO, net of underwriting discounts and commissions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58,609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Payment of offering costs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53,606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1720"/>
              <w:spacing w:after="0"/>
              <w:rPr>
                <w:sz w:val="20"/>
                <w:szCs w:val="20"/>
                <w:color w:val="auto"/>
              </w:rPr>
            </w:pPr>
            <w:r>
              <w:rPr>
                <w:rFonts w:ascii="Arial" w:cs="Arial" w:eastAsia="Arial" w:hAnsi="Arial"/>
                <w:sz w:val="18"/>
                <w:szCs w:val="18"/>
                <w:color w:val="auto"/>
              </w:rPr>
              <w:t>Effect of exchange rate changes on cash</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51,524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41,717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26,522</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and investing activities:</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2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acquired under capital lease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not yet paid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Conversion of convertible notes into common stock upon IPO</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21,204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convertible preferred stock warrant liability to additional paid-in capital upon IPO</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that attaches to the racking beneath solar modules and converts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April 4, 2012, the Company consummated its initial public offering (“IPO”). As a result, the following transactions were recorded in the Company’s consolidated financial statements during the second quarter of 2012:</w:t>
      </w:r>
    </w:p>
    <w:p>
      <w:pPr>
        <w:spacing w:after="0" w:line="51" w:lineRule="exact"/>
        <w:rPr>
          <w:sz w:val="20"/>
          <w:szCs w:val="20"/>
          <w:color w:val="auto"/>
        </w:rPr>
      </w:pPr>
    </w:p>
    <w:p>
      <w:pPr>
        <w:ind w:left="900" w:hanging="325"/>
        <w:spacing w:after="0" w:line="294"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the Company’s common stock at the $6.00 offering price. The net proceeds from the sale of the shares were $53.8 million, after deducting the underwriters’ discounts and commissions of $3.3 million and other offering costs of $4.8 million;</w:t>
      </w:r>
    </w:p>
    <w:p>
      <w:pPr>
        <w:spacing w:after="0" w:line="34" w:lineRule="exact"/>
        <w:rPr>
          <w:rFonts w:ascii="Arial" w:cs="Arial" w:eastAsia="Arial" w:hAnsi="Arial"/>
          <w:sz w:val="16"/>
          <w:szCs w:val="16"/>
          <w:color w:val="auto"/>
        </w:rPr>
      </w:pPr>
    </w:p>
    <w:p>
      <w:pPr>
        <w:ind w:left="900" w:right="60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22,220,856 outstanding shares of the Company’s convertible preferred stock ($93.6 million carrying value) automatically converted into 25,171,017 shares of common stock;</w:t>
      </w:r>
    </w:p>
    <w:p>
      <w:pPr>
        <w:spacing w:after="0" w:line="50" w:lineRule="exact"/>
        <w:rPr>
          <w:rFonts w:ascii="Arial" w:cs="Arial" w:eastAsia="Arial" w:hAnsi="Arial"/>
          <w:sz w:val="18"/>
          <w:szCs w:val="18"/>
          <w:color w:val="auto"/>
        </w:rPr>
      </w:pPr>
    </w:p>
    <w:p>
      <w:pPr>
        <w:ind w:left="900" w:right="520" w:hanging="325"/>
        <w:spacing w:after="0" w:line="332" w:lineRule="auto"/>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($0.9 million carrying value)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160" w:hanging="325"/>
        <w:spacing w:after="0" w:line="25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outstanding balance of principal and accrued paid-in-kind interest thereon ($21.2 million gross carrying value) for the Convertible Notes (see Note 8) automatically converted into 3,533,988 shares of common stock at a conversion price equal to the initial public offering price of $6.00 per share;</w:t>
      </w:r>
    </w:p>
    <w:p>
      <w:pPr>
        <w:spacing w:after="0" w:line="59" w:lineRule="exact"/>
        <w:rPr>
          <w:rFonts w:ascii="Arial" w:cs="Arial" w:eastAsia="Arial" w:hAnsi="Arial"/>
          <w:sz w:val="18"/>
          <w:szCs w:val="18"/>
          <w:color w:val="auto"/>
        </w:rPr>
      </w:pPr>
    </w:p>
    <w:p>
      <w:pPr>
        <w:ind w:left="900" w:right="440" w:hanging="325"/>
        <w:spacing w:after="0" w:line="357" w:lineRule="auto"/>
        <w:tabs>
          <w:tab w:leader="none" w:pos="900" w:val="left"/>
        </w:tabs>
        <w:numPr>
          <w:ilvl w:val="1"/>
          <w:numId w:val="3"/>
        </w:numPr>
        <w:rPr>
          <w:rFonts w:ascii="Arial" w:cs="Arial" w:eastAsia="Arial" w:hAnsi="Arial"/>
          <w:sz w:val="15"/>
          <w:szCs w:val="15"/>
          <w:color w:val="auto"/>
        </w:rPr>
      </w:pPr>
      <w:r>
        <w:rPr>
          <w:rFonts w:ascii="Arial" w:cs="Arial" w:eastAsia="Arial" w:hAnsi="Arial"/>
          <w:sz w:val="15"/>
          <w:szCs w:val="15"/>
          <w:color w:val="auto"/>
        </w:rPr>
        <w:t>the aggregate debt issuance costs and debt discounts of $2.8 million related to the Convertible Facility (see Note 9) were written-off to interest expense as a result of the conversion of the outstanding notes and the automatic termination of the $80.0 million Convertible Facility; and</w:t>
      </w:r>
    </w:p>
    <w:p>
      <w:pPr>
        <w:ind w:left="900" w:right="340" w:hanging="325"/>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filed an amended and restated certificate of incorporation, which authorized 100,000,000 shares of common stock and 10,000,000 shares of preferred stock.</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Basis of Presentation</w:t>
      </w:r>
      <w:r>
        <w:rPr>
          <w:rFonts w:ascii="Arial" w:cs="Arial" w:eastAsia="Arial" w:hAnsi="Arial"/>
          <w:sz w:val="15"/>
          <w:szCs w:val="15"/>
          <w:color w:val="auto"/>
        </w:rPr>
        <w:t>—The accompanying interim condensed consolidated financial statements are unaudited. These interim condensed consolidated</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statements have been prepared in accordance with accounting principles generally accepted in the United States of America (“GAAP”) and the applicable rules and regulations of the Securities and Exchange Commission (“SEC”) for interim financial information. Certain information and footnote disclosures normally included in financial statements prepared in accordance with GAAP have been condensed or omitted pursuant to such rules and regulations. The December 31, 2011 condensed consolidated balance sheet was derived from audited financial statements, but does not include all disclosures required by GAAP. However, the Company believes that the disclosures are adequate to ensure that the information presented is not misleading. These interim condensed consolidated financial statements should be read in conjunction with the audited consolidated financial statements and notes thereto included in the Company’s Prospectus filed pursuant to Rule 424(b) under the Securities Act, as amended (the “Exchange Act”) with the SEC on March 30, 2012 (the “Prospectus”).</w:t>
      </w:r>
    </w:p>
    <w:p>
      <w:pPr>
        <w:spacing w:after="0" w:line="10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opinion of management, the accompanying condensed consolidated financial statements of the Company contain all adjustments, including normal recurring adjustments, necessary to present fairly the statement of financial position as of September 30, 2012, its results of operations and statements of cash flows for the three and nine months ended September 30, 2012 and 2011, respectively. The results of operations for the three and nine months ended September 30, 2012 are not necessarily indicative of the operating results for the full fiscal year or any future periods.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reflect the application of certain significant accounting policies. There have been no material changes to the Company’s significant accounting policies that are disclosed in its audited consolidated financial statements and notes thereof as of December 31, 2011 included in its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September 30, 2012 and December 31, 2011 consists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0" w:type="dxa"/>
            <w:vAlign w:val="bottom"/>
            <w:gridSpan w:val="3"/>
          </w:tcPr>
          <w:p>
            <w:pPr>
              <w:ind w:left="258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Finished goods</w:t>
            </w:r>
          </w:p>
        </w:tc>
        <w:tc>
          <w:tcPr>
            <w:tcW w:w="2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76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September 30, 2012, $1.6 million of inventory write-downs were offset by a corresponding decrease in the warranty expense related to such inventory (see Note 5). During the nine months ended September 30, 2011, $0.4 million of the inventory write-down was offset by a corresponding decrease in the warranty expense related to such inventory (see Note 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PREPAYMENT TO SUPPLIER</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60" w:type="dxa"/>
            <w:vAlign w:val="bottom"/>
            <w:gridSpan w:val="3"/>
          </w:tcPr>
          <w:p>
            <w:pPr>
              <w:ind w:left="2240"/>
              <w:spacing w:after="0"/>
              <w:rPr>
                <w:sz w:val="20"/>
                <w:szCs w:val="20"/>
                <w:color w:val="auto"/>
              </w:rPr>
            </w:pPr>
            <w:r>
              <w:rPr>
                <w:rFonts w:ascii="Arial" w:cs="Arial" w:eastAsia="Arial" w:hAnsi="Arial"/>
                <w:sz w:val="14"/>
                <w:szCs w:val="14"/>
                <w:b w:val="1"/>
                <w:bCs w:val="1"/>
                <w:color w:val="auto"/>
                <w:w w:val="83"/>
              </w:rPr>
              <w:t>September 30,</w:t>
            </w:r>
          </w:p>
        </w:tc>
        <w:tc>
          <w:tcPr>
            <w:tcW w:w="174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88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 to supplier</w:t>
            </w: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made a prepayment of $5.0 million to its primary contract manufacturer in August 2012 for inventories to be delivered in the fourth quarter of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OBLIGATIONS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microinverters include a limited warranty of 15 to 25 years. The potential liability is generally in the form of product replacement. Estimated warranty costs are included in cost of revenues and are accrued at the time of sale on a per unit sold basis. Such estimates are based on various factors including historical warranty claims, anticipated frequency of future warranty claims, and assumptions about the frequency of product failures, derived from results of accelerated lab testing, field monitoring and the Company’s reliability estimates. Product failure rates are estimated primarily by using field monitoring of the actual failure rates of the microinverters the Company has sold to date. Predicted failure rates are updated periodically based on field return data. Corresponding replacement costs are updated periodically to reflect changes in the actual and estimated production costs for the Company’s microinverters. The Company’s estimated costs of warranty for previously sold products may change to the extent future products are not compatible with earlier generation products under warranty.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Company’s product warranty liability during the nine months ended September 30, 2012 and 2011 were as follows (in thousands):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Warranty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9,110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(2,355)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1"/>
        </w:trPr>
        <w:tc>
          <w:tcPr>
            <w:tcW w:w="6840" w:type="dxa"/>
            <w:vAlign w:val="bottom"/>
          </w:tcPr>
          <w:p>
            <w:pPr>
              <w:ind w:left="44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15,493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(3,589)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Long-term portion</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11,904</w:t>
            </w:r>
          </w:p>
        </w:tc>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$ 4,380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months ended September 30, 2012, warranty expense includes $2.9 million resulting from changes in estimates which increased warranty expense by $4.8 million related to analyses of accumulated information with respect to the estimated long-term performance and related replacement costs of our previous generation products, offset by changes in estimates which decreased warranty expense by $1.9 million resulting from decreases in estimated replacement, servicing and shipping costs.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nine months ended September 30, 2012, warranty expense includes $2.5 million resulting from changes in estimates which increased warranty expense by $6.0 million related to analyses of accumulated information with respect to the estimated long-term performance and related replacement costs of our previous generation products, offset by changes in estimates which decreased warranty expense by $1.9 million resulting from decreases in estimated replacement, servicing and shipping costs and a change in estimate which decreased warranty expense by $1.6 million to reflect lower replacement costs resulting from inventory write-downs (see Note 3).</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nine months ended September 30, 2011, warranty expense includes $0.8 million resulting from changes in estimates which increased warranty expense by $1.2 million to reflect increased estimated replacement costs for certain products and increases to other estimated cost assumptions, offset by a change in estimate which decreased warranty expense by $0.4 million to reflect lower replacement costs resulting from inventory write-downs (see Note 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90"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Foreign Currency Forward Contracts—</w:t>
      </w:r>
      <w:r>
        <w:rPr>
          <w:rFonts w:ascii="Arial" w:cs="Arial" w:eastAsia="Arial" w:hAnsi="Arial"/>
          <w:sz w:val="15"/>
          <w:szCs w:val="15"/>
          <w:color w:val="auto"/>
        </w:rPr>
        <w:t>The Company operates and conducts business in foreign countries where its foreign entities use the local</w:t>
      </w:r>
      <w:r>
        <w:rPr>
          <w:rFonts w:ascii="Arial" w:cs="Arial" w:eastAsia="Arial" w:hAnsi="Arial"/>
          <w:sz w:val="15"/>
          <w:szCs w:val="15"/>
          <w:b w:val="1"/>
          <w:bCs w:val="1"/>
          <w:color w:val="auto"/>
        </w:rPr>
        <w:t xml:space="preserve"> </w:t>
      </w:r>
      <w:r>
        <w:rPr>
          <w:rFonts w:ascii="Arial" w:cs="Arial" w:eastAsia="Arial" w:hAnsi="Arial"/>
          <w:sz w:val="15"/>
          <w:szCs w:val="15"/>
          <w:color w:val="auto"/>
        </w:rPr>
        <w:t>currency as their respective functional currency and, as a result, are exposed to movements in foreign currency exchange rates. In June 2012, the Company began to utilize foreign currency forward contracts to reduce the impact of foreign currency fluctuations related to anticipated cash receipts from expected future revenues denominated in Euros and intercompany transaction gains or losses.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summary of open foreign currency forward contracts at September 30, 2012 is as follows (all open contracts are obligations for the Company to deliver the foreign currency)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6"/>
              </w:rPr>
              <w:t>Maturity Date</w:t>
            </w:r>
          </w:p>
        </w:tc>
        <w:tc>
          <w:tcPr>
            <w:tcW w:w="5820" w:type="dxa"/>
            <w:vAlign w:val="bottom"/>
            <w:vMerge w:val="restart"/>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Foreign</w:t>
            </w:r>
          </w:p>
        </w:tc>
        <w:tc>
          <w:tcPr>
            <w:tcW w:w="4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Contract</w:t>
            </w:r>
          </w:p>
        </w:tc>
        <w:tc>
          <w:tcPr>
            <w:tcW w:w="4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Market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820" w:type="dxa"/>
            <w:vAlign w:val="bottom"/>
            <w:vMerge w:val="continue"/>
          </w:tcPr>
          <w:p>
            <w:pPr>
              <w:spacing w:after="0"/>
              <w:rPr>
                <w:sz w:val="14"/>
                <w:szCs w:val="14"/>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Quantity</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90"/>
              </w:rPr>
              <w:t>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7"/>
              <w:spacing w:after="0" w:line="148" w:lineRule="exact"/>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15, 2012</w:t>
            </w: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€ 4,500</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5,640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5,503</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1"/>
              </w:rPr>
              <w:t>(137)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January 15, 2013</w:t>
            </w:r>
          </w:p>
        </w:tc>
        <w:tc>
          <w:tcPr>
            <w:tcW w:w="520" w:type="dxa"/>
            <w:vAlign w:val="bottom"/>
          </w:tcPr>
          <w:p>
            <w:pPr>
              <w:jc w:val="center"/>
              <w:spacing w:after="0"/>
              <w:rPr>
                <w:sz w:val="20"/>
                <w:szCs w:val="20"/>
                <w:color w:val="auto"/>
              </w:rPr>
            </w:pPr>
            <w:r>
              <w:rPr>
                <w:rFonts w:ascii="Arial" w:cs="Arial" w:eastAsia="Arial" w:hAnsi="Arial"/>
                <w:sz w:val="18"/>
                <w:szCs w:val="18"/>
                <w:color w:val="auto"/>
                <w:w w:val="86"/>
              </w:rPr>
              <w:t>€ 4,000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w w:val="95"/>
              </w:rPr>
              <w:t>(112)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10,415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(249)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For the three and nine months ended September 30, 2012, the Company recognized losses of $249,000 and $236,000, respectively, related to foreign currency forward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9" w:lineRule="exact"/>
        <w:rPr>
          <w:sz w:val="20"/>
          <w:szCs w:val="20"/>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Since valuations are based on quoted prices that are readily and regularly available in an active market, valuation of such assets or liabilities do not entail a significant degree of judgment.</w:t>
      </w:r>
    </w:p>
    <w:p>
      <w:pPr>
        <w:spacing w:after="0" w:line="59"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1720" w:type="dxa"/>
            <w:vAlign w:val="bottom"/>
            <w:gridSpan w:val="4"/>
          </w:tcPr>
          <w:p>
            <w:pPr>
              <w:ind w:left="8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Preferred stock warrant liability (Level 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 (Level 2)</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249</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249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long-term debt consists of the following (in thousands):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380" w:right="80"/>
        <w:spacing w:after="0" w:line="294" w:lineRule="auto"/>
        <w:rPr>
          <w:sz w:val="20"/>
          <w:szCs w:val="20"/>
          <w:color w:val="auto"/>
        </w:rPr>
      </w:pPr>
      <w:r>
        <w:rPr>
          <w:rFonts w:ascii="Arial" w:cs="Arial" w:eastAsia="Arial" w:hAnsi="Arial"/>
          <w:sz w:val="16"/>
          <w:szCs w:val="16"/>
          <w:color w:val="auto"/>
        </w:rPr>
        <w:t>Term loans, net of unamortized discount of $283 and $435, respectively Equipment financing facility, net of unamortized discount of $110 and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-280035</wp:posOffset>
            </wp:positionV>
            <wp:extent cx="55054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color w:val="auto"/>
        </w:rPr>
        <w:t>respectively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r>
      <w:tr>
        <w:trPr>
          <w:trHeight w:val="216"/>
        </w:trPr>
        <w:tc>
          <w:tcPr>
            <w:tcW w:w="20" w:type="dxa"/>
            <w:vAlign w:val="bottom"/>
          </w:tcPr>
          <w:p>
            <w:pPr>
              <w:spacing w:after="0"/>
              <w:rPr>
                <w:sz w:val="18"/>
                <w:szCs w:val="18"/>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7,724</w:t>
            </w:r>
          </w:p>
        </w:tc>
        <w:tc>
          <w:tcPr>
            <w:tcW w:w="7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9,935</w:t>
            </w:r>
          </w:p>
        </w:tc>
      </w:tr>
      <w:tr>
        <w:trPr>
          <w:trHeight w:val="42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4,223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4,742</w:t>
            </w:r>
          </w:p>
        </w:tc>
      </w:tr>
    </w:tbl>
    <w:p>
      <w:pPr>
        <w:spacing w:after="0" w:line="1" w:lineRule="exact"/>
        <w:rPr>
          <w:sz w:val="20"/>
          <w:szCs w:val="20"/>
          <w:color w:val="auto"/>
        </w:rPr>
      </w:pPr>
    </w:p>
    <w:p>
      <w:pPr>
        <w:sectPr>
          <w:pgSz w:w="11900" w:h="16838" w:orient="portrait"/>
          <w:cols w:equalWidth="0" w:num="2">
            <w:col w:w="6840" w:space="720"/>
            <w:col w:w="3840"/>
          </w:cols>
          <w:pgMar w:left="240" w:top="459" w:right="259" w:bottom="1440" w:gutter="0" w:footer="0" w:header="0"/>
          <w:type w:val="continuous"/>
        </w:sectPr>
      </w:pPr>
    </w:p>
    <w:tbl>
      <w:tblPr>
        <w:tblLayout w:type="fixed"/>
        <w:tblInd w:w="13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23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current portion</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(6,844)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September 30, 2012, the Company was a party to three debt agreements: (i) the term loan with Horizon Technology Finance Corporation (“Horizon”), (ii) the equipment financing facility with Hercules Technology Growth Capital, Inc. (“Hercules”), and (iii) the revolving line of credit under a loan and security agreement with Bridge Bank, National Association and Comerica Bank. Each of these debt agreements is described in greater detail in the Prospectus.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November 7, 2012, the Company repaid the entire outstanding term loan balance of $7.4 million owed to Horizon and entered into a new credit facility with Hercules, pursuant to which Hercules agreed to make an initial term loan of $7.4 million and provide up to $15.6 million of additional borrowing capacity. The initial term loan will bear interest at an annual rate equal to the greater of 11.5% or the prime rate plus 8.25% with a 45-month term. All borrowings are collateralized by substantially all assets of the Company and are subject to certain financial covenants and events of default. Borrowings of additional term loans are subject to certain conditions precedent. All loans under the facility mature on August 1, 2016. As of November 13, 2012, the $23.0 million credit facility has not been drawn upon.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7, 2012, the Company terminated its $33.0 million revolving line of credit under a loan and security agreement with Bridge Bank, National Association and Comerica, which did not have an outstanding balance. In its place, the Company entered into a new $50.0 million senior revolving credit facility with Wells Fargo Bank, National Association with a term of three years (the “Revolver”). The amounts available under the Revolver are based on the sum of 85% of eligible domestic accounts receivable and a percentage of inventory (valued at the lesser of 65% of cost or 85% of liquidation value). Amounts borrowed under the Revolver are secured by a first priority lien on cash, accounts receivable and inventory and a second priority lien on all of the Company’s assets, excluding its intellectual property. The Revolver contains certain financial covenants and events of default. Borrowings under the Revolver have an interest rate based on the LIBOR or prime rate plus between 250 to 425 basis points, depending on the undrawn availability under the Revolver. As of November 13, 2012, the Revolver has not been drawn upon.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FACILITY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2011, the Company entered into a junior secured convertible loan facility, or Convertible Facility, with certain existing preferred stockholders that provided for up to $80.0 million in borrowings. Pursuant to the facility, the Company issued $20.0 million in convertible notes, or Convertible Notes, which provided the note holders the right to convert, at their election, all principal and accrued interest into shares of the Company’s common stock at a conversion price of $8.8984 per share. In addition, the Company issued to the note holders (i) 352,665 shares of common stock at $5.27 per share, and (ii) warrants to purchase 131,516 shares of the Company’s common stock at $5.27 per share that were immediately exercisable and have a contractual term of five years from the date of issuance. The Company recorded $3.1 million in debt discounts and debt issuance costs related to the transactions at the respective issuance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March 27, 2012, the Convertible Facility was amended to provide for the automatic conversion of the principal and accrued paid-in-kind interest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As a result of the conversion, the Company recorded a charge of $2.8 million to interest expense during the nine months ended September 30, 2012 for the extinguishment of debt relative to the unamortized debt issuance costs and debt discounts. Pursuant to its terms, the Convertible Facility terminated upon consummation of the IPO on April 4,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Contingencies</w:t>
      </w:r>
      <w:r>
        <w:rPr>
          <w:rFonts w:ascii="Arial" w:cs="Arial" w:eastAsia="Arial" w:hAnsi="Arial"/>
          <w:sz w:val="16"/>
          <w:szCs w:val="16"/>
          <w:color w:val="auto"/>
        </w:rPr>
        <w:t>—From time to time, the Company may become involved in litigation. Management is not currently aware of any litigation matters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contingencies that could have a material adverse effect on the financial position, results of operations, or cash flows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b w:val="1"/>
          <w:bCs w:val="1"/>
          <w:color w:val="auto"/>
        </w:rPr>
        <w:t>Reverse Stock Split</w:t>
      </w:r>
      <w:r>
        <w:rPr>
          <w:rFonts w:ascii="Arial" w:cs="Arial" w:eastAsia="Arial" w:hAnsi="Arial"/>
          <w:sz w:val="15"/>
          <w:szCs w:val="15"/>
          <w:color w:val="auto"/>
        </w:rPr>
        <w:t>—On March 8, 2012, the Company’s board of directors approved a 1-for-9.08 reverse stock split of the Company’s common stock and</w:t>
      </w:r>
      <w:r>
        <w:rPr>
          <w:rFonts w:ascii="Arial" w:cs="Arial" w:eastAsia="Arial" w:hAnsi="Arial"/>
          <w:sz w:val="15"/>
          <w:szCs w:val="15"/>
          <w:b w:val="1"/>
          <w:bCs w:val="1"/>
          <w:color w:val="auto"/>
        </w:rPr>
        <w:t xml:space="preserve"> </w:t>
      </w:r>
      <w:r>
        <w:rPr>
          <w:rFonts w:ascii="Arial" w:cs="Arial" w:eastAsia="Arial" w:hAnsi="Arial"/>
          <w:sz w:val="15"/>
          <w:szCs w:val="15"/>
          <w:color w:val="auto"/>
        </w:rPr>
        <w:t>convertible preferred stock, which became effective on March 23, 2012 upon the filing of the Company’s amended and restated certificate of incorporation. On the effective date, (i) every 9.08 shares of authorized, issued and outstanding common stock was reduced to one share of authorized, issued and outstanding common stock, (ii) every 9.08 shares of authorized, issued and outstanding convertible preferred stock was reduced to one share of authorized, issued and outstanding convertible preferred stock, (iii) the number of shares of common stock into which each outstanding warrant or option to purchase common stock is exercisable was proportionally reduced on a 1-for-9.08 basis, (iv) the number of shares of convertible preferred stock into which each outstanding warrant to purchase convertible preferred stock is exercisable was proportionately reduced on a 1-for-9.08 basis, (v) the number of shares of common stock issuable upon conversion of each convertible note (including shares issuable related to paid-in-kind interest) was proportionately reduced on a 1-for-9.08 basis, and (vi) all per share prices, conversion prices and exercise prices were proportionately increased. All references to share numbers, share prices, conversion prices and exercise prices have been adjusted within these unaudited condensed consolidated financial statements, on a retroactive basis, to reflect this 1-for-9.08 reverse stock split.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B, C, D and E Convertible Preferred Stock</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Prior to the consummation of the Company’s initial public offering on April 4, 2012, the Company had the following convertible preferred stock outstanding, all of which was converted to common stock in connection with the IPO on April 4, 2012 (see Note 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49"/>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Convertible Preferred Stock</w:t>
            </w:r>
          </w:p>
        </w:tc>
        <w:tc>
          <w:tcPr>
            <w:tcW w:w="4800" w:type="dxa"/>
            <w:vAlign w:val="bottom"/>
          </w:tcPr>
          <w:p>
            <w:pPr>
              <w:spacing w:after="0"/>
              <w:rPr>
                <w:sz w:val="12"/>
                <w:szCs w:val="12"/>
                <w:color w:val="auto"/>
              </w:rPr>
            </w:pPr>
          </w:p>
        </w:tc>
        <w:tc>
          <w:tcPr>
            <w:tcW w:w="84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Original</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Upon</w:t>
            </w:r>
          </w:p>
        </w:tc>
        <w:tc>
          <w:tcPr>
            <w:tcW w:w="0" w:type="dxa"/>
            <w:vAlign w:val="bottom"/>
          </w:tcPr>
          <w:p>
            <w:pPr>
              <w:spacing w:after="0"/>
              <w:rPr>
                <w:sz w:val="1"/>
                <w:szCs w:val="1"/>
                <w:color w:val="auto"/>
              </w:rPr>
            </w:pPr>
          </w:p>
        </w:tc>
      </w:tr>
      <w:tr>
        <w:trPr>
          <w:trHeight w:val="168"/>
        </w:trPr>
        <w:tc>
          <w:tcPr>
            <w:tcW w:w="1740" w:type="dxa"/>
            <w:vAlign w:val="bottom"/>
            <w:tcBorders>
              <w:bottom w:val="single" w:sz="8" w:color="auto"/>
            </w:tcBorders>
            <w:vMerge w:val="continue"/>
          </w:tcPr>
          <w:p>
            <w:pPr>
              <w:spacing w:after="0"/>
              <w:rPr>
                <w:sz w:val="14"/>
                <w:szCs w:val="14"/>
                <w:color w:val="auto"/>
              </w:rPr>
            </w:pPr>
          </w:p>
        </w:tc>
        <w:tc>
          <w:tcPr>
            <w:tcW w:w="4800" w:type="dxa"/>
            <w:vAlign w:val="bottom"/>
          </w:tcPr>
          <w:p>
            <w:pPr>
              <w:spacing w:after="0"/>
              <w:rPr>
                <w:sz w:val="14"/>
                <w:szCs w:val="14"/>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Outstanding</w:t>
            </w:r>
          </w:p>
        </w:tc>
        <w:tc>
          <w:tcPr>
            <w:tcW w:w="560" w:type="dxa"/>
            <w:vAlign w:val="bottom"/>
          </w:tcPr>
          <w:p>
            <w:pPr>
              <w:spacing w:after="0"/>
              <w:rPr>
                <w:sz w:val="14"/>
                <w:szCs w:val="14"/>
                <w:color w:val="auto"/>
              </w:rPr>
            </w:pPr>
          </w:p>
        </w:tc>
        <w:tc>
          <w:tcPr>
            <w:tcW w:w="14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Issuance Price</w:t>
            </w:r>
          </w:p>
        </w:tc>
        <w:tc>
          <w:tcPr>
            <w:tcW w:w="11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203"/>
        </w:trPr>
        <w:tc>
          <w:tcPr>
            <w:tcW w:w="1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4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206,492</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2.9056</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253,183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B</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1,065,234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6.0150</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2,021,881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1,285,890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11.6650</w:t>
            </w: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Series D</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12,232,495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2.1340</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4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6.1740</w:t>
            </w:r>
          </w:p>
        </w:tc>
        <w:tc>
          <w:tcPr>
            <w:tcW w:w="58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22,220,856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Convertible Preferred Stock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2008, the Company entered into a strategic collaboration agreement with a third party, under which the third party would test and evaluate the Enphase microinverter for European certification. As part of the agreement, the third party was granted a warrant to purchase 11,013 shares of Series C convertible preferred stock at an approximate price of $11.67 per share. Exercisability of the warrant was contingent upon completion of several milestones prior to the Company’s IPO. As a result of the Company’s IPO in April 2012, the warrant expired due to non-achievement of the performance criteria.</w:t>
      </w:r>
    </w:p>
    <w:p>
      <w:pPr>
        <w:spacing w:after="0" w:line="11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During 2010 and 2011, the Company issued warrants to purchase up to an aggregate of 187,243 shares of Series E convertible preferred stock with a weighted-average exercise price of approximately $6.54 per share in connection with financing arrangements. The warrants were immediately exercisable upon issuance and have a contractual term of 10 years from the date of issuance. Upon the consummation of the IPO in April 2012, these warrants automatically converted into warrants to purchase 199,458 of shares of common stock. As a result, the warrants were no longer subject to fair value accounting and the Company reclassified the liability to additional paid-in capital in the second quarter of 2012. As of September 30, 2012, these warrants remained outstanding.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changes in fair value (see Note 7) of the Company’s convertible preferred stock warrant liability and subsequent reclassification to additional paid-in capital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1,399</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Fair value adjustments recognized in other (income) expense, net</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08"/>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of convertible preferred stock warrant liability to additional paid-in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capital</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Balance at September 30, 2012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Warrants to Purchase Common Stock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2010, the Company entered into a supply and services agreement with a customer. As part of the agreement, the Company issued a warrant to purchase up to 11,013 shares of the Company’s common stock at a price of $4.54 per share as a sales incentive to the customer. The customer was required to meet certain minimum purchase thresholds by March 4, 2012 in order for the warrant to become exercisable. Effective March 5, 2012, this warrant expired due to non-achievement of the performance criteria.</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Convertible Facility (see Note 9), the Company issued warrants to purchase 131,516 shares of the Company’s common stock at approximately $5.27 per share that are immediately exercisable with a contractual term of five years from the date of issuance. As of September 30, 2012, these warrants remained outstanding.</w:t>
      </w:r>
    </w:p>
    <w:p>
      <w:pPr>
        <w:spacing w:after="0" w:line="215" w:lineRule="exact"/>
        <w:rPr>
          <w:sz w:val="20"/>
          <w:szCs w:val="20"/>
          <w:color w:val="auto"/>
        </w:rPr>
      </w:pPr>
    </w:p>
    <w:p>
      <w:pPr>
        <w:ind w:left="460" w:right="8380" w:hanging="452"/>
        <w:spacing w:after="0" w:line="391" w:lineRule="auto"/>
        <w:tabs>
          <w:tab w:leader="none" w:pos="26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the adoption and effectiveness of the 2011 Equity Incentive Plan (the “2011 Plan”), certain employees, officers, directors and non-employees were granted options to purchase shares of common stock and stock purchase rights under the 2006 Equity Incentive Plan (“the “2006 Plan”). In 2011, the board of directors adopted the 2011 Plan as a successor to the 2006 Plan. On March 29, 2012, the 2011 Plan became effective immediately upon the execution and delivery of the underwriting agreement for the Company’s IPO. As a result, no additional stock options or other stock awards will be granted under the 2006 Plan. All outstanding stock options and other equity awards previously granted under the 2006 Plan will remain subject to the terms of the 2006 Plan.</w:t>
      </w:r>
    </w:p>
    <w:p>
      <w:pPr>
        <w:spacing w:after="0" w:line="1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2006 Plan</w:t>
      </w:r>
      <w:r>
        <w:rPr>
          <w:rFonts w:ascii="Arial" w:cs="Arial" w:eastAsia="Arial" w:hAnsi="Arial"/>
          <w:sz w:val="16"/>
          <w:szCs w:val="16"/>
          <w:color w:val="auto"/>
        </w:rPr>
        <w:t>—Under the 2006 Plan, equity awards permitted to be issued include incentive stock options (“ISOs”), nonstatutory stock options (“NSOs”), and</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rights. ISOs may be granted only to employees (including officers and directors who are also employees) of the Company, and NSOs and restricted stock awards may be granted to employees, officers, directors and non-employees of the Company. Equity awards granted under the 2006 Plan generally vest over a four-year period from the date of grant with a contractual term of up to 10 years. Common shares purchased under the 2006 Plan are subject to certain restrictions, including the right of first refusal by the Company for sale or transfer of these shares to outside parties. The Company’s right of first refusal terminated upon completion of the IPO (see Note 1). As of September 30, 2012 and December 31, 2011, stock options to purchase 6.4 million and 6.3 million shares of common stock, respectively, were outstanding under the 2006 Plan.</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2011 Plan</w:t>
      </w:r>
      <w:r>
        <w:rPr>
          <w:rFonts w:ascii="Arial" w:cs="Arial" w:eastAsia="Arial" w:hAnsi="Arial"/>
          <w:sz w:val="16"/>
          <w:szCs w:val="16"/>
          <w:color w:val="auto"/>
        </w:rPr>
        <w:t>—Under the 2011 Plan, the Company may, initially, issue up to 2,643,171 shares of its common stock pursuant to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awards, restricted stock unit awards, performance-based stock awards, and other forms of equity compensation, or collectively, stock awards, all of which may be granted to employees, including officers, and to non-employee directors and consultants. However, the Company considers stock options as its primary vehicle for equity compensation. Options granted under the 2011 Plan before August 2012 generally expire 10 years after the grant date and options granted in or after August 2012 generally expire seven years after the grant date. Equity awards granted under the 2011 Plan generally vest over a four-year period from the date of grant based on continued employment. The number of shares of our common stock reserved for issuance under the 2011 Plan will automatically increase, on each January 1, by 4.5% of the total number of shares of our common stock outstanding on December 31 of the preceding calendar year, or such lesser number of shares of common stock as determined by the board of directors. As of September 30, 2012, there were 336,294 shares of common stock available for issuance pursuant to future grants under the 2011 Plan.</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2011 Employee Stock Purchase Plan</w:t>
      </w:r>
      <w:r>
        <w:rPr>
          <w:rFonts w:ascii="Arial" w:cs="Arial" w:eastAsia="Arial" w:hAnsi="Arial"/>
          <w:sz w:val="18"/>
          <w:szCs w:val="18"/>
          <w:color w:val="auto"/>
        </w:rPr>
        <w:t>—In 2011, the board of directors adopted the 2011 Employee Stock Purchase Plan (“ESPP”) which became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upon the execution and delivery of the underwriting agreement for the Company’s IPO on March 29, 2012. The ESPP initially authorizes the issuance of 669,603 shares of our common stock pursuant to purchase rights granted to employees. The number of shares of our common stock reserved for issuance will automatically increase, on each January 1, by 330,396 shares of our common stock or a lesser number of shares of common stock as determined by our board of directors. The ESPP is administered by the board of directors, who has delegated its authority to administer the ESPP to the compensation committee.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ESPP is implemented by concurrent offering periods, the duration of which may not exceed 27 months. An offering period may contain up to four interim purchase periods. Except for the first offering period, offering periods shall consist of the 24 month periods commencing on each May 1 and November 1 of a calendar year. The first offering period commenced on the effective date of the Company’s IPO and will end on April 30, 2014.</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Generally, all full time employees, including executive officers, will be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our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board of directors may terminate or amend the ESPP, subject to stockholder approval in some circumstances. Unless terminated earlier by the board of directors, the ESPP has a term of ten years.</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first offering period began on March 29, 2012 and has a duration of 25 months consisting of four purchase periods. For the first purchase period only, eligible participants are permitted to remit catch-up amounts (up to a maximum aggregate withholding of 15 percent of their earnings during the first purchase period) to the Company at any time through October 15, 2012. As such, a mutual understanding of the key terms between the employer and employee has not yet been reached. Accordingly, the first offering period will not have a grant date for accounting purposes until October 15, 2012, and no stock-based compensation expense has been recorded as of September 30, 2012.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summary of the Company’s stock option activity for the nine months ended September 30, 2012 is as follows (in thousands, except per share data):</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Shares</w:t>
            </w:r>
          </w:p>
        </w:tc>
        <w:tc>
          <w:tcPr>
            <w:tcW w:w="13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Exercise Price</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6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 Share</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outstanding—December 31, 2011</w:t>
            </w:r>
          </w:p>
        </w:tc>
        <w:tc>
          <w:tcPr>
            <w:tcW w:w="1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Granted (weighted-average fair value of $4.82 per share)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2,377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Canceled</w:t>
            </w:r>
          </w:p>
        </w:tc>
        <w:tc>
          <w:tcPr>
            <w:tcW w:w="11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outstanding—September 30, 2012</w:t>
            </w:r>
          </w:p>
        </w:tc>
        <w:tc>
          <w:tcPr>
            <w:tcW w:w="11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Stock-Based Compensation Expense</w:t>
      </w:r>
      <w:r>
        <w:rPr>
          <w:rFonts w:ascii="Arial" w:cs="Arial" w:eastAsia="Arial" w:hAnsi="Arial"/>
          <w:sz w:val="16"/>
          <w:szCs w:val="16"/>
          <w:color w:val="auto"/>
        </w:rPr>
        <w:t>—The fair value of options granted to employees for purposes of calculating stock-based compensation expense is</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on the grant date using the Black-Scholes option-pricing model. This valuation model requires the Company to make assumptions and judgments about the inputs used in the calculation, including the expected term (weighted-average period of time that the options granted are expected to be outstanding), the volatility of the Company’s common stock, a risk-free interest rate, and expected dividend yield. The expected term for an option grant is calculated based on the simplified method. The expected volatility is based on an average of the historical volatilities of the common stock of several entities with characteristics similar to those of the Company. The risk-free rate is based on the U.S. Treasury yield curve in effect at the time of grant for periods corresponding with the expected life of the option. The Company’s expected dividend yield input was zero as it has not historically paid, nor does it expect in the future to pay, cash dividends on its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for the periods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2011</w:t>
            </w: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1,439</w:t>
            </w:r>
          </w:p>
        </w:tc>
        <w:tc>
          <w:tcPr>
            <w:tcW w:w="100" w:type="dxa"/>
            <w:vAlign w:val="bottom"/>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2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540" w:type="dxa"/>
            <w:vAlign w:val="bottom"/>
          </w:tcPr>
          <w:p>
            <w:pPr>
              <w:spacing w:after="0"/>
              <w:rPr>
                <w:sz w:val="14"/>
                <w:szCs w:val="14"/>
                <w:color w:val="auto"/>
              </w:rPr>
            </w:pPr>
          </w:p>
        </w:tc>
        <w:tc>
          <w:tcPr>
            <w:tcW w:w="122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5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71.6%</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74.4%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71.9%</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Annual risk-free rate of return</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bl>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September 30, 2012 and December 31, 2011, there was approximately $15.0 million and $6.5 million, respectively, of total unrecognized compensation cost related to unvested equity awards, net of expected forfeitures, which is expected to be recognized over a weighted-average period of 3.1 and 3.0 years,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 A provision for income taxes of $130,000 and $346,000 has been recognized for the three and nine months ended September 30, 2012, respectively, related to the Company’s subsidiaries located outside of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Company’s IPO and the automatic conversion of the outstanding convertible preferred stock, the Company had no other participating securities and the two-class method is no longer applicable.</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Basic net loss per share attributable to common stockholders is calculated by dividing net loss attributable to common stockholders by the weighted average number of shares outstanding for the period.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and non-vested restricted stock units.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following table presents the potential common shares outstanding at period-end that were excluded from the computation of diluted net loss per share attributable to common stockholders for the three and nine months ended September 30, 2012 and 2011, respectively, because including them would have been antidilutive (in thousands):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 to purchase common stock</w:t>
            </w: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8,420</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268</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331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Convertible notes</w:t>
            </w: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9,019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9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the Company has determined that it has a single reporting segment and operating unit structure.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long-lived assets by geographic region (in thousands):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24,926</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December 2011, the Company entered into sales transactions with customers which are majority-owned by KPCB Holdings, Inc., as nominee (“KPCB”), a related party which has a significant ownership interest in the Company, and received cash in advance from these customers. During the nine months ended September 30, 2012, the Company recognized revenues of $16.8 million, which included all previously deferred revenues under these sales transactions.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prospectus filed pursuant to Rule 424(b) under the Securities Act, as amended, with the Securities and Exchange Commission, or SEC, on March 30, 2012, or the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2.6 million microinverter units as of September 30, 2012. Our products have been installed in all 50 U.S. states, eight Canadian provinces, Italy, United Kingdom, France, and the Benelux region.</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sell our microinverter systems primarily to distributors who resell them to solar installers. We also sell directly to large installers and through original equipment manufacturers (“OEMs”) and strategic partners. A substantial majority of our revenue has been generated by sales within North America. We anticipate that the majority of our 2012 net revenues will continue to come from North America, with the balance from Europe.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continue to experience significant revenue growth. Our net revenues were $60.8 million and $44.7 million for the three months ended September 30, 2012 and 2011, respectively, and $159.1 million and $92.4 million for the nine months ended September 30, 2012 and 2011, respectively, reflecting deeper market penetration and broader acceptance of microinverter technology. We incurred net losses of $8.9 million and $7.2 million for the three months ended September 30, 2012 and 2011, respectively, and $30.5 million and $26.8 million for the nine months ended September 30, 2012 and 2011, respectively, as we invested significant resources to develop new product offerings, expand our operations into new product markets and geographies, and focus on critical research and development activities required to enhance product quality and foster innovation. While we will continue to focus on new product development and market expansion activities, we expect the growth in our workforce to moderate in the near term. As of September 30, 2012, we had 384 full-time employees, compared to 286 full-time employees at September 30, 2011, an increase of 34%. However, our workforce only increased by 4% from the second quarter ended June 30, 2012. We believe the investments we have made in our corporate infrastructure will enable us to deliver higher levels of net revenues without material increases in sales and marketing, and general and administrative expenses.</w:t>
      </w:r>
    </w:p>
    <w:p>
      <w:pPr>
        <w:spacing w:after="0" w:line="12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April 4, 2012, we consummated our initial public offering (“IPO”). As a result, the following transactions were recorded in our condensed consolidated financial statements in the second quarter of 2012:</w:t>
      </w:r>
    </w:p>
    <w:p>
      <w:pPr>
        <w:spacing w:after="0" w:line="51" w:lineRule="exact"/>
        <w:rPr>
          <w:sz w:val="20"/>
          <w:szCs w:val="20"/>
          <w:color w:val="auto"/>
        </w:rPr>
      </w:pPr>
    </w:p>
    <w:p>
      <w:pPr>
        <w:ind w:left="900" w:right="2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our common stock at the $6.00 offering price. The net proceeds from the sale of the shares were $53.8 million, after deducting the underwriters’ discounts and commissions of $3.3 million and other estimated offering costs of $4.8 million;</w:t>
      </w:r>
    </w:p>
    <w:p>
      <w:pPr>
        <w:spacing w:after="0" w:line="6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22,220,856 outstanding shares of our convertible preferred stock ($93.6 million carrying value) automatically converted into 25,171,017 shares of common stock;</w:t>
      </w:r>
    </w:p>
    <w:p>
      <w:pPr>
        <w:spacing w:after="0" w:line="50"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convertible preferred stock warrant liability ($0.9 million carrying value) was reclassified to additional paid-in capital and the warrants to purchase 187,243 shares of convertible preferred stock became warrants to purchase 199,458 shares of common stock;</w:t>
      </w:r>
    </w:p>
    <w:p>
      <w:pPr>
        <w:spacing w:after="0" w:line="4"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outstanding balance of principal and accrued paid-in-kind interest thereon for our convertible notes ($21.2 million gross carrying value) automatically converted into 3,533,988 shares of common stock at a conversion price equal to the initial public offering price of $6.00 per share;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debt issuance costs and debt discounts of $2.8 million related to our convertible facility were written-off to interest expense as a result of the conversion of the outstanding notes and the automatic termination of our $80.0 million convertible facility; and</w:t>
      </w:r>
    </w:p>
    <w:p>
      <w:pPr>
        <w:spacing w:after="0" w:line="4"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filed an amended and restated certificate of incorporation, which authorized 100,000,000 shares of common stock and 10,000,000 shares of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diversification and expansion of our revenue base.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Cost of revenues is comprised primarily of product costs consisting of purchases from our contract manufacturers and other suppliers, warranty, personnel and logistics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in North America and Europe.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profit may vary from quarter to quarter and is primarily affected by our average selling prices, product cost and mix, warranty costs and seasonality.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material increases in sales and marketing, and general and administrative expenses.</w:t>
      </w:r>
    </w:p>
    <w:p>
      <w:pPr>
        <w:spacing w:after="0" w:line="14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We intend to continue to invest substantial resources in our research and development efforts because we believe they are critical to maintaining our competitive position.</w:t>
      </w:r>
    </w:p>
    <w:p>
      <w:pPr>
        <w:spacing w:after="0" w:line="10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Sales and marketing expense consists primarily of personnel-related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into new markets by expanding our customer base of distributors, large installers, OEMs and strategic partners. Historically, substantially all of our sales have been in North America. We began selling into France, Italy and the Benelux region in the fourth quarter of 2011 and commenced volume shipments to such regions in the second quarter of 2012. In addition, we opened a sales office in the United Kingdom during the second quarter of 2012 and began shipping products in the third quarter of 2012. We believe the investments we have made in sales and marketing to date will enable us to deliver higher levels of net revenues without material increases from current levels of sales and marketing expenses. However, we expect to continue to expand the geographic reach of our product offerings and explore new sales channels in strategic markets in the future.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General and administrative expense consists primarily of salaries, stock-based compensation and employee benefits for personnel related to our executive, finance, human resources, information technology and legal organizations, facilities cost, and fees for professional services. Professional services consist primarily of outside legal, accounting and information technology consulting costs. We believe the investments we have made in our corporate infrastructure to date will enable us to deliver higher levels of net revenues without material increases from current levels of general and administrative expenses.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which were issued in conjunction with credit facilities, as well as losses or gains on conversion of non-U.S. dollar transactions into U.S. dollars and foreign currency forward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We anticipate that as we expand the sale of products to customers outside the United States in the future, we will become subject to taxation based on the foreign statutory rates in the countries where these sales took place and our effective tax rate may fluctuate accordingly. We have not recorded any U.S. federal or state income tax provision for any of the periods presented because we have experienced operating losses since inception. Due to the history of losses we have generated since inception, we have recorded a full valuation allowance on our deferred tax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warranty;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For a complete description of our critical accounting policies that involve our more significant judgments and estimates used in the preparation of our condensed consolidated financial statements, refer to the Prospectus under “Management’s Discussion and Analysis of Financial Condition and Results of Operations—Critical Accounting Policies and Significant Management Estimates.”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2012 and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66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0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gridSpan w:val="7"/>
          </w:tcPr>
          <w:p>
            <w:pPr>
              <w:ind w:left="200"/>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86"/>
              </w:rPr>
              <w:t>$60,813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$44,728</w:t>
            </w:r>
          </w:p>
        </w:tc>
        <w:tc>
          <w:tcPr>
            <w:tcW w:w="800" w:type="dxa"/>
            <w:vAlign w:val="bottom"/>
            <w:shd w:val="clear" w:color="auto" w:fill="CCEEFF"/>
          </w:tcPr>
          <w:p>
            <w:pPr>
              <w:jc w:val="right"/>
              <w:ind w:right="147"/>
              <w:spacing w:after="0"/>
              <w:rPr>
                <w:sz w:val="20"/>
                <w:szCs w:val="20"/>
                <w:color w:val="auto"/>
              </w:rPr>
            </w:pPr>
            <w:r>
              <w:rPr>
                <w:rFonts w:ascii="Arial" w:cs="Arial" w:eastAsia="Arial" w:hAnsi="Arial"/>
                <w:sz w:val="18"/>
                <w:szCs w:val="18"/>
                <w:color w:val="auto"/>
                <w:w w:val="86"/>
              </w:rPr>
              <w:t>$16,085</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95"/>
              </w:rPr>
              <w:t>$159,110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$92,389</w:t>
            </w:r>
          </w:p>
        </w:tc>
        <w:tc>
          <w:tcPr>
            <w:tcW w:w="9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$66,721</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72%</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revenues increased by 36% for the three months ended September 30, 2012, compared to the same period in the prior year. The increase in net revenues was primarily due to the increase in the overall volume of our products shipped. The number of microinverter units sold increased by 51% from approximately 286,000 units in the three months ended September 30, 2011, to approximately 431,000 units in the three months ended September 30,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Net revenues increased by 72% for the nine months ended September 30, 2012, compared to the same period in the prior year. The increase in net revenues was primarily due to the increase in the overall volume of our products shipped. The number of microinverter units sold increased by 83% from approximately 614,000 units in the nine months ended September 30, 2011, to approximately 1,125,000 units in the nine months ended September 30,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82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00" w:type="dxa"/>
            <w:vAlign w:val="bottom"/>
            <w:gridSpan w:val="3"/>
          </w:tcPr>
          <w:p>
            <w:pPr>
              <w:ind w:left="300"/>
              <w:spacing w:after="0"/>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tcBorders>
              <w:top w:val="single" w:sz="8" w:color="auto"/>
            </w:tcBorders>
            <w:gridSpan w:val="6"/>
          </w:tcPr>
          <w:p>
            <w:pPr>
              <w:jc w:val="right"/>
              <w:ind w:right="417"/>
              <w:spacing w:after="0" w:line="142" w:lineRule="exact"/>
              <w:rPr>
                <w:sz w:val="20"/>
                <w:szCs w:val="20"/>
                <w:color w:val="auto"/>
              </w:rPr>
            </w:pPr>
            <w:r>
              <w:rPr>
                <w:rFonts w:ascii="Arial" w:cs="Arial" w:eastAsia="Arial" w:hAnsi="Arial"/>
                <w:sz w:val="14"/>
                <w:szCs w:val="14"/>
                <w:b w:val="1"/>
                <w:bCs w:val="1"/>
                <w:color w:val="auto"/>
              </w:rPr>
              <w:t>(In thousands, except percentages)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$44,489</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$36,185</w:t>
            </w: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$8,304</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$119,878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$76,391</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$43,487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jc w:val="right"/>
              <w:spacing w:after="0"/>
              <w:rPr>
                <w:sz w:val="20"/>
                <w:szCs w:val="20"/>
                <w:color w:val="auto"/>
              </w:rPr>
            </w:pPr>
            <w:r>
              <w:rPr>
                <w:rFonts w:ascii="Arial" w:cs="Arial" w:eastAsia="Arial" w:hAnsi="Arial"/>
                <w:sz w:val="18"/>
                <w:szCs w:val="18"/>
                <w:color w:val="auto"/>
              </w:rPr>
              <w:t>16,324</w:t>
            </w:r>
          </w:p>
        </w:tc>
        <w:tc>
          <w:tcPr>
            <w:tcW w:w="26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8,543</w:t>
            </w: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7,781</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91%</w:t>
            </w: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39,232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15,998</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23,234</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145%</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Cost of revenues increased by 23% for the three months ended September 30, 2012, compared to the same period in the prior year. The increase in cost of revenues was primarily due to an increase in the number of microinverter units sold to customers, consistent with the overall increase in net revenues as described above. Gross profit percentage increased by 8 percentage points during the three months ended September 30, 2012, compared to the same period in the prior year. The increase was attributable to a 5 percentage point increase from a larger mix of our higher-margin third generation microinverter, which has a lower per unit manufacturing cost than our second generation microinverter. The lower per unit cost was achieved primarily through design enhancements, which resulted in a higher level of product integration, and improved efficiencies on increased production volume. In addition, gross profit percentage improved by 5 percentage points in the third quarter of 2012 as a result of a reduction in usage of expedited air-freight for finished goods due to improvements in delivery scheduling. These increases were partially offset by a 2 percentage point reduction to gross profit percentage due to a net increase in warranty expense primarily attributable to changes in estimated replacement costs as well as the estimated long-term performance of our previous generation products.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of revenues increased by 57% for the nine months ended September 30, 2012, compared to the same period in the prior year. The increase in cost of revenues was primarily due to an increase in the number of microinverter units sold to customers, consistent with the overall increase in net revenues as described above. Gross profit percentage increased by 8 percentage points during the nine months ended September 30, 2012, compared to the same period in the prior year. The increase was primarily driven by a 7 percentage point increase from a larger mix of our higher-margin third generation microinverter, which has a lower per unit manufacturing cost than our second generation microinverter. The lower per unit cost was achieved primarily through design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enhancements, which resulted in a higher level of product integration, and improved efficiencies on increased production volume. In addition, gross profit percentage improved by 2 percentage points in the nine months ended September 30, 2012 as a result of a reduction in usage of expedited air-freight for finished goods due to improvements in delivery scheduling. These increases were partially offset by a 1 percentage point reduction to gross profit percentage due to a net increase in warranty expense primarily attributable to changes in estimated replacement costs as well as the estimated long-term performance of our previous generation products.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160" w:type="dxa"/>
            <w:vAlign w:val="bottom"/>
          </w:tcPr>
          <w:p>
            <w:pPr>
              <w:spacing w:after="0"/>
              <w:rPr>
                <w:sz w:val="14"/>
                <w:szCs w:val="14"/>
                <w:color w:val="auto"/>
              </w:rPr>
            </w:pPr>
          </w:p>
        </w:tc>
        <w:tc>
          <w:tcPr>
            <w:tcW w:w="17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24"/>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percentages)</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86"/>
              </w:rPr>
              <w:t>$10,571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$6,431</w:t>
            </w:r>
          </w:p>
        </w:tc>
        <w:tc>
          <w:tcPr>
            <w:tcW w:w="9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$4,140</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64%</w:t>
            </w: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$27,068</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$17,919</w:t>
            </w: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$9,149</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51%</w:t>
            </w:r>
          </w:p>
        </w:tc>
      </w:tr>
      <w:tr>
        <w:trPr>
          <w:trHeight w:val="222"/>
        </w:trPr>
        <w:tc>
          <w:tcPr>
            <w:tcW w:w="516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820" w:type="dxa"/>
            <w:vAlign w:val="bottom"/>
          </w:tcPr>
          <w:p>
            <w:pPr>
              <w:jc w:val="right"/>
              <w:ind w:right="24"/>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increase in research and development expenses in the three months ended September 30, 2012, as compared to the same period in the prior year, was primarily attributable to a $2.1 million increase in personnel-related costs as we increased our headcount to support continued investment in our future product offerings. The remaining increase was due to third-party development costs for semiconductor design and other projects.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increase in research and development expenses in the nine months ended September 30, 2012, as compared to the same period in the prior year, was primarily attributable to a $6.1 million increase in personnel-related costs as we increased our headcount to support continued investment in our future product offerings. In addition, expenditures related to the use of outside services to develop our new products increased by $2.1 million. The remaining increase was due to higher depreciation costs from test equipment acquired for use in development and facilities related costs.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4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(In thousands, except percentages)</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$7,039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47"/>
              <w:spacing w:after="0"/>
              <w:rPr>
                <w:sz w:val="20"/>
                <w:szCs w:val="20"/>
                <w:color w:val="auto"/>
              </w:rPr>
            </w:pPr>
            <w:r>
              <w:rPr>
                <w:rFonts w:ascii="Arial" w:cs="Arial" w:eastAsia="Arial" w:hAnsi="Arial"/>
                <w:sz w:val="18"/>
                <w:szCs w:val="18"/>
                <w:color w:val="auto"/>
                <w:w w:val="87"/>
              </w:rPr>
              <w:t>$2,472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54%</w:t>
            </w:r>
          </w:p>
        </w:tc>
        <w:tc>
          <w:tcPr>
            <w:tcW w:w="9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86"/>
              </w:rPr>
              <w:t>$18,448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$11,842</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$6,606</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56%</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2420" w:type="dxa"/>
            <w:vAlign w:val="bottom"/>
            <w:gridSpan w:val="2"/>
          </w:tcPr>
          <w:p>
            <w:pPr>
              <w:jc w:val="right"/>
              <w:ind w:right="52"/>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sales and marketing expenses in the three months ended September 30, 2012, as compared to the same period in the prior year, resulted primarily from increased staffing levels to support higher sales volumes and international expansion. Personnel-related costs increased by $1.7 million as a result of increases in sales and marketing headcount. The remaining increase was primarily due to expenses related to industry trade shows and increased promotional activities.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increase in sales and marketing expenses in the nine months ended September 30, 2012, as compared to the same period in the prior year, resulted primarily from increased staffing levels to support higher sales volumes and international expansion. Personnel-related costs increased by $5.1 million as a result of increases in sales and marketing headcount. The remaining increase was primarily due to expenses related to industry trade shows and increased promotional activities.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w w:val="85"/>
              </w:rPr>
              <w:t>Change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(In thousands, except percentages)</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83"/>
              </w:rPr>
              <w:t>$6,911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7"/>
              <w:spacing w:after="0"/>
              <w:rPr>
                <w:sz w:val="20"/>
                <w:szCs w:val="20"/>
                <w:color w:val="auto"/>
              </w:rPr>
            </w:pPr>
            <w:r>
              <w:rPr>
                <w:rFonts w:ascii="Arial" w:cs="Arial" w:eastAsia="Arial" w:hAnsi="Arial"/>
                <w:sz w:val="18"/>
                <w:szCs w:val="18"/>
                <w:color w:val="auto"/>
                <w:w w:val="87"/>
              </w:rPr>
              <w:t>$2,931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74%</w:t>
            </w:r>
          </w:p>
        </w:tc>
        <w:tc>
          <w:tcPr>
            <w:tcW w:w="9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w w:val="86"/>
              </w:rPr>
              <w:t>$18,698</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$11,119</w:t>
            </w:r>
          </w:p>
        </w:tc>
        <w:tc>
          <w:tcPr>
            <w:tcW w:w="800" w:type="dxa"/>
            <w:vAlign w:val="bottom"/>
            <w:shd w:val="clear" w:color="auto" w:fill="CCEEFF"/>
          </w:tcPr>
          <w:p>
            <w:pPr>
              <w:jc w:val="right"/>
              <w:ind w:right="226"/>
              <w:spacing w:after="0"/>
              <w:rPr>
                <w:sz w:val="20"/>
                <w:szCs w:val="20"/>
                <w:color w:val="auto"/>
              </w:rPr>
            </w:pPr>
            <w:r>
              <w:rPr>
                <w:rFonts w:ascii="Arial" w:cs="Arial" w:eastAsia="Arial" w:hAnsi="Arial"/>
                <w:sz w:val="18"/>
                <w:szCs w:val="18"/>
                <w:color w:val="auto"/>
                <w:w w:val="87"/>
              </w:rPr>
              <w:t>$7,579</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68%</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Percentage of net revenues</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11%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6"/>
        </w:trPr>
        <w:tc>
          <w:tcPr>
            <w:tcW w:w="5260" w:type="dxa"/>
            <w:vAlign w:val="bottom"/>
          </w:tcPr>
          <w:p>
            <w:pPr>
              <w:spacing w:after="0"/>
              <w:rPr>
                <w:sz w:val="24"/>
                <w:szCs w:val="24"/>
                <w:color w:val="auto"/>
              </w:rPr>
            </w:pPr>
          </w:p>
        </w:tc>
        <w:tc>
          <w:tcPr>
            <w:tcW w:w="740" w:type="dxa"/>
            <w:vAlign w:val="bottom"/>
          </w:tcPr>
          <w:p>
            <w:pPr>
              <w:jc w:val="right"/>
              <w:ind w:right="122"/>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increase in general and administrative expenses in the three months ended September 30, 2012, as compared to same period in the prior year, was primarily attributable to increases in personnel-related costs of $1.0 million due to additions to general and administrative headcount, professional service fees associated with accounting and legal services normally provided in connection with regulatory filings of a public company of $0.8 million, facilities-related costs of $0.7 million, board of director fees and director and officer liability insurance of $0.3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increase in general and administrative expenses in the three months ended September 30, 2012, as compared to the same period in the prior year, was primarily attributable to increases in personnel-related costs of $2.7 million due to additions to general and administrative headcount. In addition, professional service fees associated with accounting services, legal services and services related to post-implementation of our new ERP system increase by $2.2 million. The remaining increase consists of facilities-related costs of $2.0 million and board of director fees and director and officer liability insurance of $0.6 million.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 in</w:t>
            </w:r>
          </w:p>
        </w:tc>
        <w:tc>
          <w:tcPr>
            <w:tcW w:w="120" w:type="dxa"/>
            <w:vAlign w:val="bottom"/>
          </w:tcPr>
          <w:p>
            <w:pPr>
              <w:spacing w:after="0"/>
              <w:rPr>
                <w:sz w:val="14"/>
                <w:szCs w:val="14"/>
                <w:color w:val="auto"/>
              </w:rPr>
            </w:pPr>
          </w:p>
        </w:tc>
        <w:tc>
          <w:tcPr>
            <w:tcW w:w="16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0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(580)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(741)</w:t>
            </w: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$161</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$(5,148)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880" w:type="dxa"/>
            <w:vAlign w:val="bottom"/>
            <w:shd w:val="clear" w:color="auto" w:fill="CCEEFF"/>
          </w:tcPr>
          <w:p>
            <w:pPr>
              <w:jc w:val="right"/>
              <w:ind w:right="206"/>
              <w:spacing w:after="0"/>
              <w:rPr>
                <w:sz w:val="20"/>
                <w:szCs w:val="20"/>
                <w:color w:val="auto"/>
              </w:rPr>
            </w:pPr>
            <w:r>
              <w:rPr>
                <w:rFonts w:ascii="Arial" w:cs="Arial" w:eastAsia="Arial" w:hAnsi="Arial"/>
                <w:sz w:val="18"/>
                <w:szCs w:val="18"/>
                <w:color w:val="auto"/>
                <w:w w:val="86"/>
              </w:rPr>
              <w:t>$(3,277)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175%</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September 30, 2012 and 2011</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expense, net decreased primarily due to lower interest expense in the three months ended September 30, 2012, as compared to the same period in the prior year. The decrease in interest expense was primarily the result of the conversion of our $12.5 million convertible notes to common stock, as no interest expense was incurred following their conversion on April 4,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Nine Months Ended September 30, 2012 and 2011</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Other expense, net increased in the nine months ended September 30, 2012, as compared to the same period in the prior year. The increase in other expense, net was primarily due to an increase in interest expense related to the write-offs of deferred debt issuance costs and debt discounts of $2.8 million associated with the conversion of our convertible notes and $1.0 million in interest expense from higher average debt balances. In addition, foreign currency losses accounted for $0.3 million of the increase, which was partially offset by a $0.8 million increase to other income from the remeasurement of our preferred stock warrant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Through March 2012, we funded our operations primarily through private placements of convertible preferred stock and convertible notes, and proceeds from term loans. In April 2012, we completed our IPO, in which we issued and sold 10,315,151 shares and received net proceeds of approximately $53.8 million. As of September 30, 2012, we had $41.7 million in cash and cash equivalents, which are held primarily in bank deposits and money market accounts, and $60.3 million in working capital. The following table summarizes our cash flows for the periods indicated:</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gridSpan w:val="2"/>
          </w:tcPr>
          <w:p>
            <w:pPr>
              <w:jc w:val="right"/>
              <w:ind w:right="397"/>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 (52,274)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(23,229)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60" w:type="dxa"/>
            <w:vAlign w:val="bottom"/>
            <w:gridSpan w:val="2"/>
          </w:tcPr>
          <w:p>
            <w:pPr>
              <w:jc w:val="right"/>
              <w:ind w:right="152"/>
              <w:spacing w:after="0"/>
              <w:rPr>
                <w:sz w:val="20"/>
                <w:szCs w:val="20"/>
                <w:color w:val="auto"/>
              </w:rPr>
            </w:pPr>
            <w:r>
              <w:rPr>
                <w:rFonts w:ascii="Arial" w:cs="Arial" w:eastAsia="Arial" w:hAnsi="Arial"/>
                <w:sz w:val="18"/>
                <w:szCs w:val="18"/>
                <w:color w:val="auto"/>
              </w:rPr>
              <w:t>(11,054)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(9,589)</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53,606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12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experienced negative operating cash flows principally due to our significant investments in our infrastructure including increases in headcount to grow our business. We anticipate that we will continue to incur net losses and use cash in operating activities in the near term as we continue to make the necessary investments to grow and penetrate our markets.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nine months ended September 30, 2012, net cash used in operating activities was $52.3 million primarily resulting from a net loss of $30.2 million and changes in our net operating assets and liabilities used cash of $32.8 million. This was partially offset by non-cash items including interest expense of $4.0 million, depreciation and amortization of $3.9 million and stock-based compensation of $3.2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Changes in our net operating assets and liabilities was primarily attributable to a $20.2 million decrease in deferred revenues, which was due to shipments of products during the nine months ended September 30, 2012 for which upfront payments were received from customers in December 2011. In addition, the net change included a $15.0 million increase in accounts receivable as a significant amount of sales occurred in the last month of the third quarter of 2012, an increase in inventory-related purchases of $5.4 million, and an increase in prepaid expenses and other assets of $5.4 million primarily due to prepayments to our contract manufacturers. Sources of cash partially offsetting the net change resulted from an increase in accounts payable, accrued and other liabilities of $13.2 million primarily due to the corresponding increase in inventory purchases and the timing of payments.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nine months ended September 30, 2011, net cash used in operating activities was $23.2 million. The largest component of our cash used during this period related to our net loss of $26.8 million. This was partially offset by non-cash charges of $2.0 million in depreciation and amortization, $1.4 million in stock-based compensation expense, $0.7 million in amortization of debt issuance costs and debt discounts to interest expense and $0.3 million from the decrease in fair value of our convertible preferred stock warrants. Changes in operating assets and liabilities provided $1.0 million of operating cash flow primarily due to a $14.7 million increase in accounts payable and other accrued liabilities as a result of timing of payments and a $1.7 million increase in deferred revenues. This was partially offset by a $9.6 million increase in accounts receivable, a $5.7 million increase in inventory purchases and a $2.0 million increase in prepaid expenses and other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related to capital expenditures to support our growth.</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nine months ended September 30, 2012, net cash used in investing activities was $11.0 million resulting from purchases of manufacturing test equipment and expenditures on leasehold improvements and furniture and fixtures in connection with our relocation to a new headquarter facility.</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nine months ended September 30, 2011, net cash used in investing activities was $9.6 million resulting from expenditures for manufacturing test equipment as well as internally developed software.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For the nine months ended September 30, 2012, net cash provided by financing activities primarily consisted of net proceeds of $56.6 million received from our IPO, after deducting underwriting discounts and commissions and other offering costs paid during the nine months ended September 30, 2012. Cash used in financing activities consisted of $5.5 million in principal repayments of term loans offset by $2.6 million in proceeds from term loan borrowings.</w:t>
      </w:r>
    </w:p>
    <w:p>
      <w:pPr>
        <w:spacing w:after="0" w:line="10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For the nine months ended September 30, 2011, net cash provided by financing activities primarily consisted of proceeds of $12.5 million from the issuance of convertible notes, $9.2 million from borrowings, and $1.3 million from the issuance of common stock partially offset by $1.5 million related to repayments of our term loans, capital lease and debt issuance costs, and $1.9 million in payments for initial public offering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Convertible Facilities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September 30, 2012, we were a party to three debt agreements: (i) the term loan with Horizon Technology Finance Corporation (“Horizon”), (ii) the equipment financing facility with Hercules Technology Growth Capital, Inc. (“Hercules”), and (iii) the revolving line of credit under a loan and security agreement with Bridge Bank, National Association and Comerica Bank. Each of these debt agreements is described in greater detail in the Prospectus.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November 7, 2012, we repaid the entire outstanding term loan balance of $7.4 million owed to Horizon and entered into a new credit facility with Hercules, pursuant to which Hercules agreed to make an initial term loan of $7.4 million and provide up to $15.6 million of additional borrowing capacity. Upon satisfaction of conditions precedent for disbursement, which is expected to be by the end November 2012, we intend to borrow the initial $7.4 million term loan. The initial term loan will bear interest at an annual rate equal to the greater of 11.5% or the prime rate plus 8.25% with a 45-month term. All borrowings are collateralized by substantially all of our assets and are subject to certain financial covenants and events of default. Borrowings of additional term loans are subject to certain conditions precedent. All loans under the facility mature on August 1, 2016. As of November 13, 2012, the $23.0 million credit facility has not been drawn upon.</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November 7, 2012, we terminated our $33.0 million revolving line of credit under a loan and security agreement with Bridge Bank, National Association and Comerica, which did not have an outstanding balance. In its place, we entered into a new $50.0 million senior revolving credit facility with Wells Fargo Bank, National Association with a term of three years (the “Revolver”). The amounts available under the Revolver are based on the sum of 85% of eligible domestic accounts receivable and a percentage of inventory (valued at the lesser of 65% of cost or 85%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liquidation value). Amounts borrowed under the Revolver are secured by a first priority lien on cash, accounts receivable and inventory and a second priority lien on all of the Company’s assets, excluding its intellectual property. The Revolver contains certain financial covenants and events of default. Borrowings under the Revolver have an interest rate based on the LIBOR or prime rate plus between 250 to 425 basis points, depending on the undrawn availability under the Revolver. As of November 13, 2012, the Revolver has not been drawn upon.</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2011, we entered into a junior secured convertible loan facility, or Convertible Facility, with certain existing preferred stockholders that provided for up to $80.0 million in borrowings. Pursuant to the facility, we issued $20.0 million in convertible notes, or Convertible Notes, which provided the note holders the right to convert, at their election, all principal and accrued interest into shares of our common stock at a conversion price of $8.8984 per share. In addition, we issued to the note holders (i) 352,665 shares of common stock at $5.27 per share, and (ii) warrants to purchase 131,516 shares of our common stock at $5.27 per share that were immediately exercisable and have a contractual term of five years from the date of issuance. We recorded $3.1 million in debt discounts and debt issuance costs related to the transactions at the respective issuance dates.</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March 27, 2012, the Convertible Facility was amended to provide for the automatic conversion of the principal and accrued paid-in-kind interest under the Convertible Facility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The Convertible Facility terminated pursuant to its terms as a result of the consummation of the IPO on April 4,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Capital Expenditure Requirements</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anticipated growth.</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our current cash and cash equivalents of $41.7 million on hand, as of September 30, 2012, together with borrowings available under our Revolver and credit facility with Hercules, will be adequate to fund our debt obligations as well as our planned capital expenditures and operations over the next 12 months.</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Upon the consummation of our IPO on April 4, 2012, all of our Convertible Notes automatically converted to common stock, and hence, no amounts were outstanding at September 30,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noted above, we paid off the $7.4 million term loan balance with Horizon on November 7, 2012.</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On November 7, 2012, we entered into a new credit facility with Hercules, pursuant to which we agreed to borrow a $7.4 million term loan upon satisfaction of conditions precedent for disbursement, which is expected to be by the end of November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our inception and through September 30, 2012, we have not engaged in any off-balance sheet arrangements.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and New Zealand Dollars. These payables and receivables primarily arise from sales to customers and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June 2012, we began to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summary of our open foreign currency forward contracts at September 30, 2012 is as follows (all outstanding contracts are obligations for the Company to deliver the foreign currency)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2720" w:type="dxa"/>
            <w:vAlign w:val="bottom"/>
          </w:tcPr>
          <w:p>
            <w:pPr>
              <w:spacing w:after="0"/>
              <w:rPr>
                <w:sz w:val="14"/>
                <w:szCs w:val="14"/>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Foreign</w:t>
            </w: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Contract</w:t>
            </w: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7"/>
              </w:rPr>
              <w:t>Market</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r>
      <w:tr>
        <w:trPr>
          <w:trHeight w:val="149"/>
        </w:trPr>
        <w:tc>
          <w:tcPr>
            <w:tcW w:w="3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720" w:type="dxa"/>
            <w:vAlign w:val="bottom"/>
          </w:tcPr>
          <w:p>
            <w:pPr>
              <w:spacing w:after="0"/>
              <w:rPr>
                <w:sz w:val="12"/>
                <w:szCs w:val="12"/>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1"/>
              </w:rPr>
              <w:t>Quantity</w:t>
            </w:r>
          </w:p>
        </w:tc>
        <w:tc>
          <w:tcPr>
            <w:tcW w:w="100" w:type="dxa"/>
            <w:vAlign w:val="bottom"/>
          </w:tcPr>
          <w:p>
            <w:pPr>
              <w:spacing w:after="0"/>
              <w:rPr>
                <w:sz w:val="12"/>
                <w:szCs w:val="12"/>
                <w:color w:val="auto"/>
              </w:rPr>
            </w:pPr>
          </w:p>
        </w:tc>
        <w:tc>
          <w:tcPr>
            <w:tcW w:w="9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2"/>
                <w:szCs w:val="12"/>
                <w:color w:val="auto"/>
              </w:rPr>
            </w:pPr>
          </w:p>
        </w:tc>
        <w:tc>
          <w:tcPr>
            <w:tcW w:w="98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5"/>
              </w:rPr>
              <w:t>Value</w:t>
            </w: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(Liability)</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3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October 15, 2012</w:t>
            </w:r>
          </w:p>
        </w:tc>
        <w:tc>
          <w:tcPr>
            <w:tcW w:w="272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€ 4,500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5,503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w w:val="71"/>
              </w:rPr>
              <w:t>(137)</w:t>
            </w:r>
          </w:p>
        </w:tc>
        <w:tc>
          <w:tcPr>
            <w:tcW w:w="100" w:type="dxa"/>
            <w:vAlign w:val="bottom"/>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January 15, 2013</w:t>
            </w:r>
          </w:p>
        </w:tc>
        <w:tc>
          <w:tcPr>
            <w:tcW w:w="3720" w:type="dxa"/>
            <w:vAlign w:val="bottom"/>
            <w:gridSpan w:val="3"/>
          </w:tcPr>
          <w:p>
            <w:pPr>
              <w:jc w:val="center"/>
              <w:ind w:left="2152"/>
              <w:spacing w:after="0"/>
              <w:rPr>
                <w:sz w:val="20"/>
                <w:szCs w:val="20"/>
                <w:color w:val="auto"/>
              </w:rPr>
            </w:pPr>
            <w:r>
              <w:rPr>
                <w:rFonts w:ascii="Arial" w:cs="Arial" w:eastAsia="Arial" w:hAnsi="Arial"/>
                <w:sz w:val="18"/>
                <w:szCs w:val="18"/>
                <w:color w:val="auto"/>
                <w:w w:val="86"/>
              </w:rPr>
              <w:t>€ 4,000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w w:val="95"/>
              </w:rPr>
              <w:t>(112)</w:t>
            </w:r>
          </w:p>
        </w:tc>
      </w:tr>
      <w:tr>
        <w:trPr>
          <w:trHeight w:val="27"/>
        </w:trPr>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10,664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5"/>
              </w:rPr>
              <w:t>(249)</w:t>
            </w:r>
          </w:p>
        </w:tc>
      </w:tr>
      <w:tr>
        <w:trPr>
          <w:trHeight w:val="20"/>
        </w:trPr>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foreign currency exchange rate risk associated with our forward currency exchange contracts is limited as the exposure is substantially offset by exchange rate changes of the underlying hedged amounts. A hypothetical 10% strengthening of the Euro compared to the U.S. Dollar at September 30, 2012 would have decreased the fair value of our open contracts by $1.0 million.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2012.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We have marked with an asterisk (*) those risks described below that reflect substantive changes from the risks described in our prospectus filed pursuant to Rule 424(b) with the Securities and Exchange Commission, or SEC, on March 30, 2012, or the Prospectus. In assessing these risks, you should also refer to the other information contained in this Quarterly Report on Form 10-Q, including our financial statements and related notes.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incurred net losses in each quarter since our inception, and we may continue to incur additional net losses in future years as we continue to invest substantial resources to support the growth of our business. We incurred a net loss of $8.9 million and $30.5 million for the three and nine months ended September 30, 2012, respectively, and have incurred net losses of approximately $119.3 million from our inception through September 30, 2012. We expect to incur additional costs and expenses related to the continued development and expansion of our business, including marketing and developing our products, expanding into new product markets and geographies, and maintaining and enhancing our research and development operations. In addition,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only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07"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microinverter solution is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6"/>
          <w:szCs w:val="16"/>
          <w:i w:val="1"/>
          <w:iCs w:val="1"/>
          <w:color w:val="auto"/>
        </w:rPr>
        <w:t>,</w:t>
      </w:r>
      <w:r>
        <w:rPr>
          <w:rFonts w:ascii="Arial" w:cs="Arial" w:eastAsia="Arial" w:hAnsi="Arial"/>
          <w:sz w:val="16"/>
          <w:szCs w:val="16"/>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37" w:lineRule="exact"/>
        <w:rPr>
          <w:sz w:val="20"/>
          <w:szCs w:val="20"/>
          <w:color w:val="auto"/>
        </w:rPr>
      </w:pPr>
    </w:p>
    <w:p>
      <w:pPr>
        <w:ind w:left="5620" w:right="5540" w:hanging="5045"/>
        <w:spacing w:after="0" w:line="408" w:lineRule="auto"/>
        <w:tabs>
          <w:tab w:leader="none" w:pos="893" w:val="left"/>
        </w:tabs>
        <w:numPr>
          <w:ilvl w:val="0"/>
          <w:numId w:val="9"/>
        </w:numPr>
        <w:rPr>
          <w:rFonts w:ascii="Arial" w:cs="Arial" w:eastAsia="Arial" w:hAnsi="Arial"/>
          <w:sz w:val="15"/>
          <w:szCs w:val="15"/>
          <w:color w:val="auto"/>
        </w:rPr>
      </w:pPr>
      <w:r>
        <w:rPr>
          <w:rFonts w:ascii="Arial" w:cs="Arial" w:eastAsia="Arial" w:hAnsi="Arial"/>
          <w:sz w:val="15"/>
          <w:szCs w:val="15"/>
          <w:color w:val="auto"/>
        </w:rPr>
        <w:t>market acceptance of solar PV systems based on our product platform; 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and amount of government subsidies and incentives to support the development and deployment of solar energy solutions;</w:t>
      </w:r>
    </w:p>
    <w:p>
      <w:pPr>
        <w:spacing w:after="0" w:line="113" w:lineRule="exact"/>
        <w:rPr>
          <w:rFonts w:ascii="Arial" w:cs="Arial" w:eastAsia="Arial" w:hAnsi="Arial"/>
          <w:sz w:val="16"/>
          <w:szCs w:val="16"/>
          <w:color w:val="auto"/>
        </w:rPr>
      </w:pPr>
    </w:p>
    <w:p>
      <w:pPr>
        <w:ind w:left="900" w:right="7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32"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4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cost of solar power currently exceeds retail electricity rates, and we believe will continue to do so for the foreseeable future. As a result, national, state and local government bodies in many countries, most notably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0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The guidelines include a “safe harbor” provision setting the beginning of construction at the point where the applicant has incurred or paid at least 5% of the total cost of the property, excluding land and certain preliminary planning activities. We believe the December 31, 2011 deadline associated with this program had a positive effect on our sales in the fourth quarter of 2011, as customers and installers took actions to begin construction or place eligible property into service before the deadline, and in 2012 as deferred revenues recorded in connection with these sales were recognized. However, unless this program is further extended, the eventual phase-out of this program could adversely affect sales of our products in the future.</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California is the largest single solar market in the United States, based on SEIA data,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performance-based incentives which decrease in intervals over time. The “Go Solar California” program is scheduled to expire on December 31, 2016, but if the pace of installations is high the program may conclude sooner.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We also sell our products in Ontario, Canada. The Ontario Power Authority Green Energy and Green Economy Act of 2009 created two separate FiT programs for projects greater than 10kW and for projects less than 10kW. Both programs were recently suspended while they underwent a review. The program for projects less than 10kW was re-opened to new applications in July 2012. The Ontario Power Authority had announced that it expects to re-open the program for projects greater than 10kW in October 2012 but this re-opening has been delayed. These FiT programs provide participants with a fixed price for the electricity produced over a 20-year contract term. The Government of Ontario has the authority to change the FiTs for future contracts at its discretion. These suspensions and any future suspensions and any changes to FiT programs in Ontario could negatively affect our business, financial condition and results of operations.</w:t>
      </w:r>
    </w:p>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Italy, Belgium and the United Kingdom, have adopted reductions to their FiTs, and Spain recently announced a temporary suspension of all subsidies for new renewable energy projects. These and related developments have significantly impacted the solar industry in Europe and may adversely affect the future demand for the solar energy solutions in Europe. As we seek to do increased business in Europe, reductions in European tariffs and subsidies and other requirements or incentives, including local content requirements or incentives could negatively affect our business, financial condition and results of operations.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continuing global economic, capital markets and credit disruptions, including sovereign debt issues, pose risks for our business.</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may also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may adversely impact our existing or future business.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 market acceptance, which would prevent us from increasing our revenue and market share.</w:t>
      </w:r>
    </w:p>
    <w:p>
      <w:pPr>
        <w:spacing w:after="0" w:line="19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we fail to achieve broad market acceptance of our products, there would be an adverse impact on our ability to increase our revenue, gain market share and achieve and sustain profitability. Our ability to achieve broad market acceptance for our products will be impacted by a number of factors, including:</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and system owners will continue to adopt our microinverter solution, which is a relatively new technology with a limited history with respect to reliability and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and system owners will be willing to purchase microinverter systems from us given our limited operating history;</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produce microinverter systems that compete favorably against other solutions on the basis of price, quality, reliability and performance;</w:t>
      </w:r>
    </w:p>
    <w:p>
      <w:pPr>
        <w:spacing w:after="0" w:line="113" w:lineRule="exact"/>
        <w:rPr>
          <w:rFonts w:ascii="Arial" w:cs="Arial" w:eastAsia="Arial" w:hAnsi="Arial"/>
          <w:sz w:val="16"/>
          <w:szCs w:val="16"/>
          <w:color w:val="auto"/>
        </w:rPr>
      </w:pPr>
    </w:p>
    <w:p>
      <w:pPr>
        <w:ind w:left="900" w:right="7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solution.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our ability to reduce and control product costs;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reductions on older generation products to sell remaining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reduce production costs, such as through technology innovations, in order to offset price declines in older products over time;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date, we have competed primarily against central inverter manufacturers and have faced little direct competition in selling our microinverter systems. Marketing and selling our microinverter solutions against traditional inverter solutions is highly competitive and we expect competition to intensify as new and existing competitors enter the microinverter market. We believe that a number of companies have developed or are developing microinverters and other products that will compete directly with our microinverter systems. SMA Solar Technology AG, Power-One Inc. and SunPower Corp., leading inverter vendors serving the residential and small commercial inverter markets, have introduced in 2012 or announced plans to introduce microinverter products in 2012 or 2013. In addition, several new entrants to the microinverter market have recently announced plans to ship or have already shipped products, including some of our OEM customers and partners.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 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2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also may face competition from some of our customers who evaluate our capabilities against the merits of manufacturing products internally. For instance, solar module manufacturers could attempt to develop components that directly perform DC to AC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planned expansion into new markets could subject us to additional business, financial and competitive risks.</w:t>
      </w:r>
    </w:p>
    <w:p>
      <w:pPr>
        <w:spacing w:after="0" w:line="17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currently offer microinverter systems targeting the residential and commercial markets in North America, France, Italy, the United Kingdom, the Benelux region and certain other select European markets. However, we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6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 w:lineRule="exact"/>
        <w:rPr>
          <w:sz w:val="20"/>
          <w:szCs w:val="20"/>
          <w:color w:val="auto"/>
        </w:rPr>
      </w:pPr>
    </w:p>
    <w:p>
      <w:pPr>
        <w:ind w:left="900" w:right="3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cause our revenue and gross profit to decline.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offered 15-year limited warranties for our first and second generation microinverters and offer a limited warranty of up to 25 years on our third generation microinverters. Our limited warranties cover defects in materials and workmanship of our microinverters under normal use and service conditions for up to 25 years following installation. As a result, we bear the risk of warranty claims long after we have sold product and recognized revenue. Our estimated costs of warranty for previously sold products may change to the extent future products are not compatible with earlier generation products under warranty.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of the limited operating history of our products, we have been required to make assumptions and apply judgments, based on our accelerated life cycle testing, regarding a number of factors, including our anticipated rate of warranty claims and the durability and reliability of our products.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shipment volumes, field service obligations and rework costs incurred in correcting product failures have caused and could in the future cause us to increase the amount of warranty reserves and have had and may have in the future a corresponding negative impact on our results of operations.</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cancelled, changed or deferred without notice to us or penalty. As a result, it is difficult to forecast future customer demand to plan our operations.</w:t>
      </w:r>
    </w:p>
    <w:p>
      <w:pPr>
        <w:spacing w:after="0" w:line="118" w:lineRule="exact"/>
        <w:rPr>
          <w:sz w:val="20"/>
          <w:szCs w:val="20"/>
          <w:color w:val="auto"/>
        </w:rPr>
      </w:pPr>
    </w:p>
    <w:p>
      <w:pPr>
        <w:ind w:right="280" w:firstLine="456"/>
        <w:spacing w:after="0" w:line="287" w:lineRule="auto"/>
        <w:rPr>
          <w:sz w:val="20"/>
          <w:szCs w:val="20"/>
          <w:color w:val="auto"/>
        </w:rPr>
      </w:pPr>
      <w:r>
        <w:rPr>
          <w:rFonts w:ascii="Arial" w:cs="Arial" w:eastAsia="Arial" w:hAnsi="Arial"/>
          <w:sz w:val="16"/>
          <w:szCs w:val="16"/>
          <w:color w:val="auto"/>
        </w:rPr>
        <w:t>If we overestimate demand for our products, or if purchase orders are cancelled or shipments are delayed, we may have excess inventory that we cannot sell. Historically, provisions for write-downs of inventories have not been significant. In the future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forego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07"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forego potential revenue opportunities.</w:t>
      </w:r>
    </w:p>
    <w:p>
      <w:pPr>
        <w:spacing w:after="0" w:line="144"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32"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Enphase is unable develop relationships and gain a significant share of inverter sales to the major finance companies or new entrants, our overall sales growth will be constrained.</w:t>
      </w:r>
    </w:p>
    <w:p>
      <w:pPr>
        <w:spacing w:after="0" w:line="12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For the year ended December 31, 2011, Focused Energy, Inc., Sunwize Technologies, Inc., and Solarnet Holdings, LLC collectively accounted for 38% of our total net revenues. In the nine months ended September 30, 2012, net revenues generated from three customers accounted for approximately 15%, 12% and 11% of the Company’s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microinverter solutions.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3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4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9" w:lineRule="exact"/>
        <w:rPr>
          <w:sz w:val="20"/>
          <w:szCs w:val="20"/>
          <w:color w:val="auto"/>
        </w:rPr>
      </w:pPr>
    </w:p>
    <w:p>
      <w:pPr>
        <w:ind w:left="900" w:right="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20" w:firstLine="115"/>
        <w:spacing w:after="0" w:line="493" w:lineRule="auto"/>
        <w:tabs>
          <w:tab w:leader="none" w:pos="8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expend significant resources to redesign the products that use the infringing technology and to develop or acquire non-infringing technology. Any of these actions could result in a substantial reduction in our revenue and could result in losses over an extended period of time.</w:t>
      </w:r>
    </w:p>
    <w:p>
      <w:pPr>
        <w:ind w:right="240"/>
        <w:spacing w:after="0" w:line="268"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0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3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2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the later of our Annual Report on Form 10-K for the year ending December 31, 2013, or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With respect to 2011, we and our independent registered public accounting firm identified a significant deficiency in our internal controls over financial reporting but this deficiency did not create a material weakness. The significant deficiency related to our need for continued improvements in the documentation of accounting policies and procedures and segregation of duties. We have made efforts to remediate this significant deficiency through hiring additional experienced accounting personnel and by realigning certain roles and responsibilities to improve segregation of duties. If significant deficiencies in our internal controls are not fully remediated or if additional significant deficiencies are identified, those significant deficiencies could lead to material weaknesses in the future, potentially causing us to fail to meet our future reporting obligations and the price of our common stock to decline.</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32"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As a public company we incur legal, accounting and other expenses that we did not incur as a private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will need to devote a substantial amount of time to these compliance initiatives. Moreover, these rules and regulations increase our legal and financial compliance costs and make some activities more time-consuming and costly. For example, these rules and regulations may make it more difficult and more expensive for us to obtain director and officer liability insurance, and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attacks or other catastrophic events could harm our operations.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could hinder or delay the development and sale of our products. In the event that an earthquake, tsunami, typhoon, terrorist attack or other natural, manmade or technical catastrophe were to destroy any part of our facilities or those of our contract manufacturer, destroy or disrupt vital infrastructure systems or interrupt our operations for any extended period of time, our business, financial condition and results of operations would be materially adversely affected.</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*Changes in current or future laws or regulations or the imposition of new laws or regulations, or new interpretations thereof, by federal or state agencies or foreign governments could impair our ability to compete in international markets.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current laws or regulations applicable to us or the imposition of new laws and regulations in the United States or other jurisdictions in which we do business, such as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 For example, the Italian energy authority (AEEG) recently enacted a new set of interconnection standards for solar energy installations, which took effect in July 2012. We are currently developing a solution to meet these requirements. However, in the event that we cannot implement our intended solution in the near term the total market available for our microinverter products in Italy, and our business as a result, may be adversely impacted.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we are not aware of any other current or proposed export or import regulations which would materially restrict our ability to sell our products in countries such as Canada, France, Italy, the United Kingdom, the Benelux region or China,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market price of our common stock could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 to quarter due to a number of factors, which may lead to volatility in our stock price.</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design, manufacture and deliver products to our customers in a timely and cost-effective manner and that meet customer requirements;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maintenance and expansion of our business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October 31, 2012, our executive officers, directors, greater than 5% stockholders and entities that are affiliated with them, beneficially owned nearly three-quarters of our outstanding common stock, on an as-converted basis.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October 31, 2012, we had approximately 41 million shares of common stock outstanding, all of which is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your only opportunity to achieve a return on your investment in our company will be if the market price of our common stock appreciates and you sell your shares at a profit.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charter documents and Delaware law could prevent a takeover that stockholders consider favorable and could also reduce the market price of our stock.</w:t>
      </w:r>
    </w:p>
    <w:p>
      <w:pPr>
        <w:spacing w:after="0" w:line="20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9" w:lineRule="exact"/>
        <w:rPr>
          <w:sz w:val="20"/>
          <w:szCs w:val="20"/>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providing for cumulative voting in the election of directors, which limits the ability of minority stockholders to elect directory candidates;</w:t>
      </w:r>
    </w:p>
    <w:p>
      <w:pPr>
        <w:spacing w:after="0" w:line="113"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forces stockholder action to be taken at an annual or special meeting of our stockholders;</w:t>
      </w:r>
    </w:p>
    <w:p>
      <w:pPr>
        <w:spacing w:after="0" w:line="113" w:lineRule="exact"/>
        <w:rPr>
          <w:rFonts w:ascii="Arial" w:cs="Arial" w:eastAsia="Arial" w:hAnsi="Arial"/>
          <w:sz w:val="16"/>
          <w:szCs w:val="16"/>
          <w:color w:val="auto"/>
        </w:rPr>
      </w:pPr>
    </w:p>
    <w:p>
      <w:pPr>
        <w:ind w:left="900" w:right="6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1"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9"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initial public offering,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 &amp; 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used a portion of the proceeds from the offering for working capital and other general purposes. We invested the remaining proceeds in investment-grade, interest bearing instruments, pending their use to fund working capital and other general corporate purposes.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 November 13,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ENPHASE ENERGY,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11"/>
                <w:szCs w:val="11"/>
                <w:color w:val="auto"/>
              </w:rPr>
              <w:t>(1)</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11"/>
                <w:szCs w:val="11"/>
                <w:color w:val="auto"/>
              </w:rPr>
              <w:t>(2)</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11"/>
                <w:szCs w:val="11"/>
                <w:color w:val="auto"/>
              </w:rPr>
              <w:t>(3)</w:t>
            </w: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 thereto,</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dated March 15, 2010, as amended.</w:t>
            </w:r>
            <w:r>
              <w:rPr>
                <w:rFonts w:ascii="Arial" w:cs="Arial" w:eastAsia="Arial" w:hAnsi="Arial"/>
                <w:sz w:val="11"/>
                <w:szCs w:val="11"/>
                <w:color w:val="auto"/>
              </w:rPr>
              <w:t>(3)</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Common Stock Purchase Warrant, between the Company and MS Solar Solutions Corp, dated March 4, 2010.</w:t>
            </w:r>
            <w:r>
              <w:rPr>
                <w:rFonts w:ascii="Arial" w:cs="Arial" w:eastAsia="Arial" w:hAnsi="Arial"/>
                <w:sz w:val="11"/>
                <w:szCs w:val="11"/>
                <w:color w:val="auto"/>
              </w:rPr>
              <w:t>(3)</w:t>
            </w: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Shares of Series Preferred Stock, between the Company and Compass Horizon Funding Company LLC, dated March 11,</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2010.</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0"/>
              </w:rPr>
              <w:t>Warrant to Purchase Shares of Series Preferred Stock, between the Company and Horizon Technology Finance Corporation, dated March 25,</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40"/>
              <w:spacing w:after="0"/>
              <w:rPr>
                <w:sz w:val="20"/>
                <w:szCs w:val="20"/>
                <w:color w:val="auto"/>
              </w:rPr>
            </w:pPr>
            <w:r>
              <w:rPr>
                <w:rFonts w:ascii="Arial" w:cs="Arial" w:eastAsia="Arial" w:hAnsi="Arial"/>
                <w:sz w:val="18"/>
                <w:szCs w:val="18"/>
                <w:color w:val="auto"/>
              </w:rPr>
              <w:t>2011.</w:t>
            </w:r>
            <w:r>
              <w:rPr>
                <w:rFonts w:ascii="Arial" w:cs="Arial" w:eastAsia="Arial" w:hAnsi="Arial"/>
                <w:sz w:val="11"/>
                <w:szCs w:val="11"/>
                <w:color w:val="auto"/>
              </w:rPr>
              <w:t>(3)</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3"/>
              </w:rPr>
              <w:t>Warrant Agreement to Purchase Shares of Preferred Stock, between the Company and Hercules Technology Growth Capital, Inc., dated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September 13, 2011.</w:t>
            </w:r>
            <w:r>
              <w:rPr>
                <w:rFonts w:ascii="Arial" w:cs="Arial" w:eastAsia="Arial" w:hAnsi="Arial"/>
                <w:sz w:val="11"/>
                <w:szCs w:val="11"/>
                <w:color w:val="auto"/>
              </w:rPr>
              <w:t>(3)</w:t>
            </w: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4"/>
              </w:rPr>
              <w:t>Form of September 2011 Warrant to Purchase Common Stock of Enphase Energy, Inc., pursuant to that certain Amended and Restated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11"/>
                <w:szCs w:val="11"/>
                <w:color w:val="auto"/>
              </w:rPr>
              <w:t>(3)</w:t>
            </w: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4"/>
              </w:rPr>
              <w:t>Form of November 2011 Warrant to Purchase Common Stock of Enphase Energy, Inc., pursuant to that certain Amended and Restated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11"/>
                <w:szCs w:val="11"/>
                <w:color w:val="auto"/>
              </w:rPr>
              <w:t>(3)</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10.40</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4"/>
              </w:rPr>
              <w:t>Second Amendment to Redwood Business Park NNN Lease, between Enphase Energy, Inc. &amp; Sequoia Center LLC, dated July 3, 2012.</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Separation Agreement, dated August 6, 2012, by and between Sanjeev Kumar and Enphase Energy, Inc.+</w:t>
            </w:r>
          </w:p>
        </w:tc>
      </w:tr>
      <w:tr>
        <w:trPr>
          <w:trHeight w:val="318"/>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10.42</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8"/>
              </w:rPr>
              <w:t>Amendment No. 4 to Loan and Security Agreement, dated July 27, 2012, by and between Hercules Technology Growth Capital, Inc. and Enphase</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Energy, Inc.</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10.43</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Offer Letter by and between Enphase Energy, Inc. and Kris Sennesael, dated September 17, 2012.</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10.44</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Offer Letter by and between Enphase Energy, Inc. and Stephen Lapointe, dated July 31, 2012.</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10.45</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Offer Letter by and between Enphase Energy, Inc. and Ciaran Fox, dated May 2, 2012.</w:t>
            </w:r>
          </w:p>
        </w:tc>
      </w:tr>
      <w:tr>
        <w:trPr>
          <w:trHeight w:val="324"/>
        </w:trPr>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10.46</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3"/>
              </w:rPr>
              <w:t>Form of Change of Control and Severance Agreement to be entered into by Enphase Energy, Inc. and each of its new executive officers.</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318"/>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 of</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Exhibit 3.1 to the Company’s Current Report on Form 8-K (001-35480), filed with the Securities and Exchange Commission on April 6, 2012, and incorporated by reference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Company’s Registration Statement on Form S-1/A (Registration No. 333-174925), filed with the Securities and Exchange Commission on March 12, 2012, and incorporated by reference herein.</w:t>
      </w: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Filed as the like-numbered exhibit to our Registration Statement on Form S-1/A (Registration No. 333-174925), and incorporated herein by reference.</w:t>
      </w:r>
    </w:p>
    <w:p>
      <w:pPr>
        <w:spacing w:after="0" w:line="3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 w:lineRule="exact"/>
        <w:rPr>
          <w:sz w:val="20"/>
          <w:szCs w:val="20"/>
          <w:color w:val="auto"/>
        </w:rPr>
      </w:pPr>
    </w:p>
    <w:p>
      <w:pPr>
        <w:jc w:val="both"/>
        <w:ind w:left="460" w:right="4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1" w:lineRule="exact"/>
        <w:rPr>
          <w:sz w:val="20"/>
          <w:szCs w:val="20"/>
          <w:color w:val="auto"/>
        </w:rPr>
      </w:pPr>
    </w:p>
    <w:p>
      <w:pPr>
        <w:ind w:left="460" w:hanging="452"/>
        <w:spacing w:after="0" w:line="28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(1420 N. McDowell Blvd.)</w:t>
      </w:r>
    </w:p>
    <w:p>
      <w:pPr>
        <w:spacing w:after="0" w:line="165"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 xml:space="preserve">THIS SECOND AMENDMENT TO LEASE </w:t>
      </w:r>
      <w:r>
        <w:rPr>
          <w:rFonts w:ascii="Arial" w:cs="Arial" w:eastAsia="Arial" w:hAnsi="Arial"/>
          <w:sz w:val="18"/>
          <w:szCs w:val="18"/>
          <w:color w:val="auto"/>
        </w:rPr>
        <w:t>(this “Amendment”) dated as of July 3, 2012, is entered into between SEQUOIA CENTER LLC, 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limited liability company (“Landlord”) and ENPHASE ENERGY, INC., a Delaware corporation (“Tenant”).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PARTIES ENTER INTO THIS AMENDMENT </w:t>
      </w:r>
      <w:r>
        <w:rPr>
          <w:rFonts w:ascii="Arial" w:cs="Arial" w:eastAsia="Arial" w:hAnsi="Arial"/>
          <w:sz w:val="18"/>
          <w:szCs w:val="18"/>
          <w:color w:val="auto"/>
        </w:rPr>
        <w:t>based upon the following facts, understandings and intentions: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Landlord and Tenant previously entered into that certain Redwood Business Park NNN Lease dated as of June 3, 2011, as amended by that certain First Amendment to Lease dated as of January 12, 2012 (together with all exhibits thereto, the “Lease”) pursuant to which Tenant leases from Landlord the entire building commonly known as 1420 N. McDowell Boulevard, Petaluma, California. Capitalized terms used herein and not defined herein shall have the meanings set forth in the Lease (including the Work Letter Agreement attached as Exhibit B thereto) in connection therewith.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Landlord and Tenant desire to make certain changes to the Lease as further provided herein.</w:t>
      </w:r>
    </w:p>
    <w:p>
      <w:pPr>
        <w:spacing w:after="0" w:line="165"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promises of the parties, the receipt and adequacy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20" w:lineRule="exact"/>
        <w:rPr>
          <w:sz w:val="20"/>
          <w:szCs w:val="20"/>
          <w:color w:val="auto"/>
        </w:rPr>
      </w:pPr>
    </w:p>
    <w:p>
      <w:pPr>
        <w:jc w:val="both"/>
        <w:ind w:right="280" w:firstLine="464"/>
        <w:spacing w:after="0" w:line="262" w:lineRule="auto"/>
        <w:tabs>
          <w:tab w:leader="none" w:pos="6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Extended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is hereby extended from March 1, 2022 through and including April 30, 2022 (the “Extended Term”). As so</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the expiration date of the Lease matches the expiration date of the separate lease between Landlord and Tenant for space in the neighboring building located at 1400 N. McDowell Boulevard, Petaluma, California.</w:t>
      </w:r>
    </w:p>
    <w:p>
      <w:pPr>
        <w:spacing w:after="0" w:line="132" w:lineRule="exact"/>
        <w:rPr>
          <w:rFonts w:ascii="Arial" w:cs="Arial" w:eastAsia="Arial" w:hAnsi="Arial"/>
          <w:sz w:val="18"/>
          <w:szCs w:val="18"/>
          <w:b w:val="1"/>
          <w:bCs w:val="1"/>
          <w:color w:val="auto"/>
        </w:rPr>
      </w:pPr>
    </w:p>
    <w:p>
      <w:pPr>
        <w:ind w:firstLine="464"/>
        <w:spacing w:after="0" w:line="275" w:lineRule="auto"/>
        <w:tabs>
          <w:tab w:leader="none" w:pos="6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 – Extended Term</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during the Extended Term shall be ninety-four thousand three hundred dollars ($94,300.00) per month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a rate of $1.31 per rentable square foot per month.</w:t>
      </w:r>
    </w:p>
    <w:p>
      <w:pPr>
        <w:spacing w:after="0" w:line="119" w:lineRule="exact"/>
        <w:rPr>
          <w:rFonts w:ascii="Arial" w:cs="Arial" w:eastAsia="Arial" w:hAnsi="Arial"/>
          <w:sz w:val="18"/>
          <w:szCs w:val="18"/>
          <w:b w:val="1"/>
          <w:bCs w:val="1"/>
          <w:color w:val="auto"/>
        </w:rPr>
      </w:pPr>
    </w:p>
    <w:p>
      <w:pPr>
        <w:ind w:right="60" w:firstLine="464"/>
        <w:spacing w:after="0" w:line="258" w:lineRule="auto"/>
        <w:tabs>
          <w:tab w:leader="none" w:pos="63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Sport Courts</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hereby grants to Tenant the non-exclusive right to use the basketball court and the volleyball court depicted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(collectively, the “Sport Courts”). Such right (a) shall be at no additional cost to Tenant, (b) shall be subject to any written rules and regulations promulgated by Landlord from time to time, (c) shall be subordinate to any usage in connection with any leagues or other organized play authorized by Landlord, and (d) may be terminated by Landlord at any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6" w:name="page47"/>
    <w:bookmarkEnd w:id="4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during the Term upon thirty (30) days prior written notice to Tenant. All of the provisions of the Lease shall be applicable to Tenant’s use of the Sport Courts. For the benefit of Landlord and Tenant, Tenant shall obtain and retain a signed Waiver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from each person using the Sport Courts through Tenant, including without limitation employees, guests and invitees of Tenant, and shall provide copies of same to Landlord upon request. Tenant shall indemnify, defend (by counsel reasonably satisfactory to Landlord) and hold harmless Landlord, and Landlord’s officers, directors, partners, employees, affiliates, joint venturers, members, trustees, owners, shareholders, principals, agents, representatives, successors and assigns, from and against all claims, costs, damages, actions, indebtedness and liabilities (except such as may arise from the negligence or willful misconduct of Landlord, and Landlord’s officers, directors, partners, employees, affiliates, joint venturers, members, trustees, owners, shareholders, principals, agents, representatives, successors and assigns) arising by reason of any death, bodily injury, personal injury, property damage or any other injury or damage arising out of or related to the use of the Sport Courts by Tenant, its employees, guests or invitees. Tenant’s rights granted pursuant to this Section are personal to Tenant, and Tenant may not assign or otherwise transfer any of its rights to use the Sport Courts granted herein except in connection with a full assignment of the Lease.</w:t>
      </w:r>
    </w:p>
    <w:p>
      <w:pPr>
        <w:spacing w:after="0" w:line="117" w:lineRule="exact"/>
        <w:rPr>
          <w:sz w:val="20"/>
          <w:szCs w:val="20"/>
          <w:color w:val="auto"/>
        </w:rPr>
      </w:pPr>
    </w:p>
    <w:p>
      <w:pPr>
        <w:ind w:firstLine="464"/>
        <w:spacing w:after="0" w:line="288" w:lineRule="auto"/>
        <w:tabs>
          <w:tab w:leader="none" w:pos="632"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Outdoor Gatherings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expressed an interest in holding gatherings of employees in the outdoor Common Areas serving the Building, such as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parking lot, sidewalk and landscape areas. Tenant shall hold such gatherings only with the prior written approval of Landlord, which approval Landlord may withhold in its sole discretion. All provisions of the Lease shall be applicable to such gatherings, and in addition Tenant shall be prohibited from selling alcohol at such gatherings without first obtaining liquor liability insurance coverage for the gathering in an amount and form approved by Landlord. Tenant shall indemnify, defend (by counsel reasonably satisfactory to Landlord) and hold harmless Landlord, and Landlord’s officers, directors, partners, employees, affiliates, joint venturers, members, trustees, owners, shareholders, principals, agents, representatives, successors and assigns, from and against all claims, costs, damages, actions, indebtedness and liabilities (except such as may arise from the negligence or willful misconduct of Landlord, and Landlord’s officers, directors, partners, employees, affiliates, joint venturers, members, trustees, owners, shareholders, principals, agents, representatives, successors and assigns) arising by reason of any death, bodily injury, personal injury, property damage or any other injury or damage arising out of or related to the use of the outdoor Common Areas by Tenant, its employees, guests or invitees.</w:t>
      </w:r>
    </w:p>
    <w:p>
      <w:pPr>
        <w:spacing w:after="0" w:line="115" w:lineRule="exact"/>
        <w:rPr>
          <w:rFonts w:ascii="Arial" w:cs="Arial" w:eastAsia="Arial" w:hAnsi="Arial"/>
          <w:sz w:val="16"/>
          <w:szCs w:val="16"/>
          <w:b w:val="1"/>
          <w:bCs w:val="1"/>
          <w:color w:val="auto"/>
        </w:rPr>
      </w:pPr>
    </w:p>
    <w:p>
      <w:pPr>
        <w:jc w:val="both"/>
        <w:ind w:right="120" w:firstLine="464"/>
        <w:spacing w:after="0" w:line="339" w:lineRule="auto"/>
        <w:tabs>
          <w:tab w:leader="none" w:pos="632"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represents the entire understanding between Landlord and Tenant concerning the subject matter hereof, and there</w:t>
      </w:r>
      <w:r>
        <w:rPr>
          <w:rFonts w:ascii="Arial" w:cs="Arial" w:eastAsia="Arial" w:hAnsi="Arial"/>
          <w:sz w:val="15"/>
          <w:szCs w:val="15"/>
          <w:b w:val="1"/>
          <w:bCs w:val="1"/>
          <w:color w:val="auto"/>
        </w:rPr>
        <w:t xml:space="preserve"> </w:t>
      </w:r>
      <w:r>
        <w:rPr>
          <w:rFonts w:ascii="Arial" w:cs="Arial" w:eastAsia="Arial" w:hAnsi="Arial"/>
          <w:sz w:val="15"/>
          <w:szCs w:val="15"/>
          <w:color w:val="auto"/>
        </w:rPr>
        <w:t>are no understandings or agreements between them relating to the Lease or the Premises not set forth in writing and signed by the parties hereto. No party hereto has relied upon any representation, warranty or understanding not set forth herein, either oral or written, as an inducement to enter into this Amendment.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7" w:name="page48"/>
    <w:bookmarkEnd w:id="47"/>
    <w:p>
      <w:pPr>
        <w:ind w:left="-80" w:firstLine="464"/>
        <w:spacing w:after="0" w:line="339" w:lineRule="auto"/>
        <w:tabs>
          <w:tab w:leader="none" w:pos="55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Continuing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expressly set forth to the contrary in this Amendment, the Lease remains unmodified and in full force and effect.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of any conflict between the terms of this Amendment and the terms of the Lease, the terms of this Amendment shall control.</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74" w:right="31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Amendment as of the day and year first above written.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“LANDLORD”</w:t>
            </w:r>
          </w:p>
        </w:tc>
        <w:tc>
          <w:tcPr>
            <w:tcW w:w="6760" w:type="dxa"/>
            <w:vAlign w:val="bottom"/>
            <w:gridSpan w:val="2"/>
          </w:tcPr>
          <w:p>
            <w:pPr>
              <w:ind w:left="1600"/>
              <w:spacing w:after="0"/>
              <w:rPr>
                <w:sz w:val="20"/>
                <w:szCs w:val="20"/>
                <w:color w:val="auto"/>
              </w:rPr>
            </w:pPr>
            <w:r>
              <w:rPr>
                <w:rFonts w:ascii="Arial" w:cs="Arial" w:eastAsia="Arial" w:hAnsi="Arial"/>
                <w:sz w:val="18"/>
                <w:szCs w:val="18"/>
                <w:color w:val="auto"/>
              </w:rPr>
              <w:t>“TENANT”</w:t>
            </w:r>
          </w:p>
        </w:tc>
      </w:tr>
      <w:tr>
        <w:trPr>
          <w:trHeight w:val="412"/>
        </w:trPr>
        <w:tc>
          <w:tcPr>
            <w:tcW w:w="4660" w:type="dxa"/>
            <w:vAlign w:val="bottom"/>
          </w:tcPr>
          <w:p>
            <w:pPr>
              <w:spacing w:after="0"/>
              <w:rPr>
                <w:sz w:val="20"/>
                <w:szCs w:val="20"/>
                <w:color w:val="auto"/>
              </w:rPr>
            </w:pPr>
            <w:r>
              <w:rPr>
                <w:rFonts w:ascii="Arial" w:cs="Arial" w:eastAsia="Arial" w:hAnsi="Arial"/>
                <w:sz w:val="18"/>
                <w:szCs w:val="18"/>
                <w:color w:val="auto"/>
              </w:rPr>
              <w:t>SEQUOIA CENTER LLC,</w:t>
            </w:r>
          </w:p>
        </w:tc>
        <w:tc>
          <w:tcPr>
            <w:tcW w:w="6760" w:type="dxa"/>
            <w:vAlign w:val="bottom"/>
            <w:gridSpan w:val="2"/>
          </w:tcPr>
          <w:p>
            <w:pPr>
              <w:ind w:left="1600"/>
              <w:spacing w:after="0"/>
              <w:rPr>
                <w:sz w:val="20"/>
                <w:szCs w:val="20"/>
                <w:color w:val="auto"/>
              </w:rPr>
            </w:pPr>
            <w:r>
              <w:rPr>
                <w:rFonts w:ascii="Arial" w:cs="Arial" w:eastAsia="Arial" w:hAnsi="Arial"/>
                <w:sz w:val="18"/>
                <w:szCs w:val="18"/>
                <w:color w:val="auto"/>
              </w:rPr>
              <w:t>ENPHASE ENERGY, INC.,</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a California limited liability company</w:t>
            </w:r>
          </w:p>
        </w:tc>
        <w:tc>
          <w:tcPr>
            <w:tcW w:w="6760" w:type="dxa"/>
            <w:vAlign w:val="bottom"/>
            <w:gridSpan w:val="2"/>
          </w:tcPr>
          <w:p>
            <w:pPr>
              <w:ind w:left="1600"/>
              <w:spacing w:after="0"/>
              <w:rPr>
                <w:sz w:val="20"/>
                <w:szCs w:val="20"/>
                <w:color w:val="auto"/>
              </w:rPr>
            </w:pPr>
            <w:r>
              <w:rPr>
                <w:rFonts w:ascii="Arial" w:cs="Arial" w:eastAsia="Arial" w:hAnsi="Arial"/>
                <w:sz w:val="18"/>
                <w:szCs w:val="18"/>
                <w:color w:val="auto"/>
              </w:rPr>
              <w:t>a Delaware corporation</w:t>
            </w:r>
          </w:p>
        </w:tc>
      </w:tr>
      <w:tr>
        <w:trPr>
          <w:trHeight w:val="439"/>
        </w:trPr>
        <w:tc>
          <w:tcPr>
            <w:tcW w:w="4660" w:type="dxa"/>
            <w:vAlign w:val="bottom"/>
          </w:tcPr>
          <w:p>
            <w:pPr>
              <w:spacing w:after="0"/>
              <w:rPr>
                <w:sz w:val="20"/>
                <w:szCs w:val="20"/>
                <w:color w:val="auto"/>
              </w:rPr>
            </w:pPr>
            <w:r>
              <w:rPr>
                <w:rFonts w:ascii="Arial" w:cs="Arial" w:eastAsia="Arial" w:hAnsi="Arial"/>
                <w:sz w:val="18"/>
                <w:szCs w:val="18"/>
                <w:color w:val="auto"/>
              </w:rPr>
              <w:t>By: G&amp;W Ventures, LLC,</w:t>
            </w:r>
          </w:p>
        </w:tc>
        <w:tc>
          <w:tcPr>
            <w:tcW w:w="21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22"/>
        </w:trPr>
        <w:tc>
          <w:tcPr>
            <w:tcW w:w="4660" w:type="dxa"/>
            <w:vAlign w:val="bottom"/>
          </w:tcPr>
          <w:p>
            <w:pPr>
              <w:ind w:left="360"/>
              <w:spacing w:after="0"/>
              <w:rPr>
                <w:sz w:val="20"/>
                <w:szCs w:val="20"/>
                <w:color w:val="auto"/>
              </w:rPr>
            </w:pPr>
            <w:r>
              <w:rPr>
                <w:rFonts w:ascii="Arial" w:cs="Arial" w:eastAsia="Arial" w:hAnsi="Arial"/>
                <w:sz w:val="18"/>
                <w:szCs w:val="18"/>
                <w:color w:val="auto"/>
              </w:rPr>
              <w:t>a California limited liability company,</w:t>
            </w:r>
          </w:p>
        </w:tc>
        <w:tc>
          <w:tcPr>
            <w:tcW w:w="218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32"/>
        </w:trPr>
        <w:tc>
          <w:tcPr>
            <w:tcW w:w="4660" w:type="dxa"/>
            <w:vAlign w:val="bottom"/>
          </w:tcPr>
          <w:p>
            <w:pPr>
              <w:ind w:left="360"/>
              <w:spacing w:after="0"/>
              <w:rPr>
                <w:sz w:val="20"/>
                <w:szCs w:val="20"/>
                <w:color w:val="auto"/>
              </w:rPr>
            </w:pPr>
            <w:r>
              <w:rPr>
                <w:rFonts w:ascii="Arial" w:cs="Arial" w:eastAsia="Arial" w:hAnsi="Arial"/>
                <w:sz w:val="18"/>
                <w:szCs w:val="18"/>
                <w:color w:val="auto"/>
              </w:rPr>
              <w:t>its Manager</w:t>
            </w:r>
          </w:p>
        </w:tc>
        <w:tc>
          <w:tcPr>
            <w:tcW w:w="2180" w:type="dxa"/>
            <w:vAlign w:val="bottom"/>
          </w:tcPr>
          <w:p>
            <w:pPr>
              <w:ind w:left="160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Nahi</w:t>
            </w:r>
          </w:p>
        </w:tc>
      </w:tr>
      <w:tr>
        <w:trPr>
          <w:trHeight w:val="215"/>
        </w:trPr>
        <w:tc>
          <w:tcPr>
            <w:tcW w:w="4660" w:type="dxa"/>
            <w:vAlign w:val="bottom"/>
          </w:tcPr>
          <w:p>
            <w:pPr>
              <w:spacing w:after="0"/>
              <w:rPr>
                <w:sz w:val="18"/>
                <w:szCs w:val="18"/>
                <w:color w:val="auto"/>
              </w:rPr>
            </w:pPr>
          </w:p>
        </w:tc>
        <w:tc>
          <w:tcPr>
            <w:tcW w:w="2180" w:type="dxa"/>
            <w:vAlign w:val="bottom"/>
          </w:tcPr>
          <w:p>
            <w:pPr>
              <w:ind w:left="1600"/>
              <w:spacing w:after="0"/>
              <w:rPr>
                <w:sz w:val="20"/>
                <w:szCs w:val="20"/>
                <w:color w:val="auto"/>
              </w:rPr>
            </w:pPr>
            <w:r>
              <w:rPr>
                <w:rFonts w:ascii="Arial" w:cs="Arial" w:eastAsia="Arial" w:hAnsi="Arial"/>
                <w:sz w:val="18"/>
                <w:szCs w:val="18"/>
                <w:color w:val="auto"/>
              </w:rPr>
              <w:t>Name:</w:t>
            </w:r>
          </w:p>
        </w:tc>
        <w:tc>
          <w:tcPr>
            <w:tcW w:w="4580" w:type="dxa"/>
            <w:vAlign w:val="bottom"/>
          </w:tcPr>
          <w:p>
            <w:pPr>
              <w:spacing w:after="0"/>
              <w:rPr>
                <w:sz w:val="20"/>
                <w:szCs w:val="20"/>
                <w:color w:val="auto"/>
              </w:rPr>
            </w:pPr>
            <w:r>
              <w:rPr>
                <w:rFonts w:ascii="Arial" w:cs="Arial" w:eastAsia="Arial" w:hAnsi="Arial"/>
                <w:sz w:val="18"/>
                <w:szCs w:val="18"/>
                <w:color w:val="auto"/>
              </w:rPr>
              <w:t>Paul Nahi</w:t>
            </w:r>
          </w:p>
        </w:tc>
      </w:tr>
      <w:tr>
        <w:trPr>
          <w:trHeight w:val="222"/>
        </w:trPr>
        <w:tc>
          <w:tcPr>
            <w:tcW w:w="4660" w:type="dxa"/>
            <w:vAlign w:val="bottom"/>
          </w:tcPr>
          <w:p>
            <w:pPr>
              <w:spacing w:after="0"/>
              <w:rPr>
                <w:sz w:val="19"/>
                <w:szCs w:val="19"/>
                <w:color w:val="auto"/>
              </w:rPr>
            </w:pPr>
          </w:p>
        </w:tc>
        <w:tc>
          <w:tcPr>
            <w:tcW w:w="2180" w:type="dxa"/>
            <w:vAlign w:val="bottom"/>
          </w:tcPr>
          <w:p>
            <w:pPr>
              <w:ind w:left="1600"/>
              <w:spacing w:after="0"/>
              <w:rPr>
                <w:sz w:val="20"/>
                <w:szCs w:val="20"/>
                <w:color w:val="auto"/>
              </w:rPr>
            </w:pPr>
            <w:r>
              <w:rPr>
                <w:rFonts w:ascii="Arial" w:cs="Arial" w:eastAsia="Arial" w:hAnsi="Arial"/>
                <w:sz w:val="18"/>
                <w:szCs w:val="18"/>
                <w:color w:val="auto"/>
              </w:rPr>
              <w:t>Its:</w:t>
            </w:r>
          </w:p>
        </w:tc>
        <w:tc>
          <w:tcPr>
            <w:tcW w:w="4580" w:type="dxa"/>
            <w:vAlign w:val="bottom"/>
          </w:tcPr>
          <w:p>
            <w:pPr>
              <w:spacing w:after="0"/>
              <w:rPr>
                <w:sz w:val="20"/>
                <w:szCs w:val="20"/>
                <w:color w:val="auto"/>
              </w:rPr>
            </w:pPr>
            <w:r>
              <w:rPr>
                <w:rFonts w:ascii="Arial" w:cs="Arial" w:eastAsia="Arial" w:hAnsi="Arial"/>
                <w:sz w:val="18"/>
                <w:szCs w:val="18"/>
                <w:color w:val="auto"/>
              </w:rPr>
              <w:t>President/CEO</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10795</wp:posOffset>
            </wp:positionV>
            <wp:extent cx="3027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Matthew T. White, Manager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DEPICTION OF SPORT COURTS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[attached]</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274"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WAIVER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274"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VIA HAND DELIVERY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1420 N. McDowell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94954</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Separation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Sanjeev:</w:t>
      </w:r>
    </w:p>
    <w:p>
      <w:pPr>
        <w:spacing w:after="0" w:line="165"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As discussed, you and Enphase Energy, Inc. (the “</w:t>
      </w:r>
      <w:r>
        <w:rPr>
          <w:rFonts w:ascii="Arial" w:cs="Arial" w:eastAsia="Arial" w:hAnsi="Arial"/>
          <w:sz w:val="18"/>
          <w:szCs w:val="18"/>
          <w:b w:val="1"/>
          <w:bCs w:val="1"/>
          <w:color w:val="auto"/>
        </w:rPr>
        <w:t>Company</w:t>
      </w:r>
      <w:r>
        <w:rPr>
          <w:rFonts w:ascii="Arial" w:cs="Arial" w:eastAsia="Arial" w:hAnsi="Arial"/>
          <w:sz w:val="18"/>
          <w:szCs w:val="18"/>
          <w:color w:val="auto"/>
        </w:rPr>
        <w:t>”) have mutually decided to end your employment relationship with the Company. This letter sets forth the terms of the separation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that you and the Company have discussed and agreed upon in order to aid in your employment transition.</w:t>
      </w:r>
    </w:p>
    <w:p>
      <w:pPr>
        <w:spacing w:after="0" w:line="132" w:lineRule="exact"/>
        <w:rPr>
          <w:sz w:val="20"/>
          <w:szCs w:val="20"/>
          <w:color w:val="auto"/>
        </w:rPr>
      </w:pPr>
    </w:p>
    <w:p>
      <w:pPr>
        <w:ind w:right="20" w:firstLine="464"/>
        <w:spacing w:after="0" w:line="296" w:lineRule="auto"/>
        <w:tabs>
          <w:tab w:leader="none" w:pos="63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Separation Date. </w:t>
      </w:r>
      <w:r>
        <w:rPr>
          <w:rFonts w:ascii="Arial" w:cs="Arial" w:eastAsia="Arial" w:hAnsi="Arial"/>
          <w:sz w:val="16"/>
          <w:szCs w:val="16"/>
          <w:color w:val="auto"/>
        </w:rPr>
        <w:t>You will remain employed with the Company in your current position, on the terms and conditions described herein, until</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15, 2012 (the “</w:t>
      </w:r>
      <w:r>
        <w:rPr>
          <w:rFonts w:ascii="Arial" w:cs="Arial" w:eastAsia="Arial" w:hAnsi="Arial"/>
          <w:sz w:val="16"/>
          <w:szCs w:val="16"/>
          <w:b w:val="1"/>
          <w:bCs w:val="1"/>
          <w:color w:val="auto"/>
        </w:rPr>
        <w:t>Employment Termination Date</w:t>
      </w:r>
      <w:r>
        <w:rPr>
          <w:rFonts w:ascii="Arial" w:cs="Arial" w:eastAsia="Arial" w:hAnsi="Arial"/>
          <w:sz w:val="16"/>
          <w:szCs w:val="16"/>
          <w:color w:val="auto"/>
        </w:rPr>
        <w:t>”). By mutual written agreement, you and the Company may subsequently agree to change the Employment Termination Date to an earlier or later date. If the Company hires a new Chief Financial Officer prior to the date specified herein, that person may be appointed to the Chief Financial Officer position but you will remain an employee of the Company until the Employment Termination Date unless otherwise agreed in writing between the Company and you. Your final date of employment is referred to herein as your “</w:t>
      </w:r>
      <w:r>
        <w:rPr>
          <w:rFonts w:ascii="Arial" w:cs="Arial" w:eastAsia="Arial" w:hAnsi="Arial"/>
          <w:sz w:val="16"/>
          <w:szCs w:val="16"/>
          <w:b w:val="1"/>
          <w:bCs w:val="1"/>
          <w:color w:val="auto"/>
        </w:rPr>
        <w:t>Separation Date.</w:t>
      </w:r>
      <w:r>
        <w:rPr>
          <w:rFonts w:ascii="Arial" w:cs="Arial" w:eastAsia="Arial" w:hAnsi="Arial"/>
          <w:sz w:val="16"/>
          <w:szCs w:val="16"/>
          <w:color w:val="auto"/>
        </w:rPr>
        <w:t>”</w:t>
      </w:r>
    </w:p>
    <w:p>
      <w:pPr>
        <w:spacing w:after="0" w:line="107" w:lineRule="exact"/>
        <w:rPr>
          <w:rFonts w:ascii="Arial" w:cs="Arial" w:eastAsia="Arial" w:hAnsi="Arial"/>
          <w:sz w:val="16"/>
          <w:szCs w:val="16"/>
          <w:b w:val="1"/>
          <w:bCs w:val="1"/>
          <w:color w:val="auto"/>
        </w:rPr>
      </w:pPr>
    </w:p>
    <w:p>
      <w:pPr>
        <w:ind w:right="60" w:firstLine="464"/>
        <w:spacing w:after="0" w:line="293" w:lineRule="auto"/>
        <w:tabs>
          <w:tab w:leader="none" w:pos="63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Transition Period. </w:t>
      </w:r>
      <w:r>
        <w:rPr>
          <w:rFonts w:ascii="Arial" w:cs="Arial" w:eastAsia="Arial" w:hAnsi="Arial"/>
          <w:sz w:val="16"/>
          <w:szCs w:val="16"/>
          <w:color w:val="auto"/>
        </w:rPr>
        <w:t>From the date of this Agreement through the Separation Date (the “</w:t>
      </w:r>
      <w:r>
        <w:rPr>
          <w:rFonts w:ascii="Arial" w:cs="Arial" w:eastAsia="Arial" w:hAnsi="Arial"/>
          <w:sz w:val="16"/>
          <w:szCs w:val="16"/>
          <w:b w:val="1"/>
          <w:bCs w:val="1"/>
          <w:color w:val="auto"/>
        </w:rPr>
        <w:t>Transition Period</w:t>
      </w:r>
      <w:r>
        <w:rPr>
          <w:rFonts w:ascii="Arial" w:cs="Arial" w:eastAsia="Arial" w:hAnsi="Arial"/>
          <w:sz w:val="16"/>
          <w:szCs w:val="16"/>
          <w:color w:val="auto"/>
        </w:rPr>
        <w:t>”), you will continue in your capacity 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(unless a new Chief Financial Officer is appointed), you will continue to perform your assigned duties to the best of your abilities, and you will continue to abide by all Company policies and procedures and any agreements between you and the Company. In light of your commitment to continue in your capacity as Chief Financial Officer through the Transition Period, the Company will immediately increase your annualized base salary from $225,000.00 to $275,000.00 retroactive to January 1, 2012. During the Transition Period, you will be paid your adjusted base salary and you will continue to be eligible to participate in the Company’s employee benefit plans pursuant to the terms of those plans.</w:t>
      </w:r>
    </w:p>
    <w:p>
      <w:pPr>
        <w:spacing w:after="0" w:line="110" w:lineRule="exact"/>
        <w:rPr>
          <w:rFonts w:ascii="Arial" w:cs="Arial" w:eastAsia="Arial" w:hAnsi="Arial"/>
          <w:sz w:val="16"/>
          <w:szCs w:val="16"/>
          <w:b w:val="1"/>
          <w:bCs w:val="1"/>
          <w:color w:val="auto"/>
        </w:rPr>
      </w:pPr>
    </w:p>
    <w:p>
      <w:pPr>
        <w:ind w:right="240" w:firstLine="464"/>
        <w:spacing w:after="0" w:line="262" w:lineRule="auto"/>
        <w:tabs>
          <w:tab w:leader="none" w:pos="63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Accrued Salary and Paid Time Off</w:t>
      </w:r>
      <w:r>
        <w:rPr>
          <w:rFonts w:ascii="Arial" w:cs="Arial" w:eastAsia="Arial" w:hAnsi="Arial"/>
          <w:sz w:val="18"/>
          <w:szCs w:val="18"/>
          <w:color w:val="auto"/>
        </w:rPr>
        <w:t>. On the Separation Date, the Company will pay you all accrued salary, and all accrued and unused vacation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floating holidays earned through the Separation Date, subject to standard payroll deductions and withholdings. You are entitled to these payments regardless of whether or not you sign this Agreement.</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right="160" w:firstLine="464"/>
        <w:spacing w:after="0" w:line="301" w:lineRule="auto"/>
        <w:tabs>
          <w:tab w:leader="none" w:pos="632"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Although the Company has no plan, program or agreement requiring it to offer you severance benefits in this situation, if: (i)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timely sign and abide by the terms of this Agreement, and allow the releases contained herein to become effective, and (ii) on or within 21 days after the Separation Date, you execute and return to the Company the Employee Agreement and Release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Release</w:t>
      </w:r>
      <w:r>
        <w:rPr>
          <w:rFonts w:ascii="Arial" w:cs="Arial" w:eastAsia="Arial" w:hAnsi="Arial"/>
          <w:sz w:val="16"/>
          <w:szCs w:val="16"/>
          <w:color w:val="auto"/>
        </w:rPr>
        <w:t>”), and allow the releases contained in the Release to become effective; then the Company will provide you with the following severance benefits:</w:t>
      </w:r>
    </w:p>
    <w:p>
      <w:pPr>
        <w:spacing w:after="0" w:line="103" w:lineRule="exact"/>
        <w:rPr>
          <w:rFonts w:ascii="Arial" w:cs="Arial" w:eastAsia="Arial" w:hAnsi="Arial"/>
          <w:sz w:val="16"/>
          <w:szCs w:val="16"/>
          <w:b w:val="1"/>
          <w:bCs w:val="1"/>
          <w:color w:val="auto"/>
        </w:rPr>
      </w:pPr>
    </w:p>
    <w:p>
      <w:pPr>
        <w:ind w:firstLine="921"/>
        <w:spacing w:after="0" w:line="262" w:lineRule="auto"/>
        <w:tabs>
          <w:tab w:leader="none" w:pos="1162" w:val="left"/>
        </w:tabs>
        <w:numPr>
          <w:ilvl w:val="2"/>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Payment. </w:t>
      </w:r>
      <w:r>
        <w:rPr>
          <w:rFonts w:ascii="Arial" w:cs="Arial" w:eastAsia="Arial" w:hAnsi="Arial"/>
          <w:sz w:val="18"/>
          <w:szCs w:val="18"/>
          <w:color w:val="auto"/>
        </w:rPr>
        <w:t>The Company will pay you a single lump sum severance payment in the amount of $168,750.00, subject to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and withholdings (the “</w:t>
      </w:r>
      <w:r>
        <w:rPr>
          <w:rFonts w:ascii="Arial" w:cs="Arial" w:eastAsia="Arial" w:hAnsi="Arial"/>
          <w:sz w:val="18"/>
          <w:szCs w:val="18"/>
          <w:b w:val="1"/>
          <w:bCs w:val="1"/>
          <w:color w:val="auto"/>
        </w:rPr>
        <w:t>Severance Payment</w:t>
      </w:r>
      <w:r>
        <w:rPr>
          <w:rFonts w:ascii="Arial" w:cs="Arial" w:eastAsia="Arial" w:hAnsi="Arial"/>
          <w:sz w:val="18"/>
          <w:szCs w:val="18"/>
          <w:color w:val="auto"/>
        </w:rPr>
        <w:t>”). The Severance Payment will be paid to you on the first regular payday following the Release Effective Date (as defined in the Release).</w:t>
      </w:r>
    </w:p>
    <w:p>
      <w:pPr>
        <w:spacing w:after="0" w:line="213" w:lineRule="exact"/>
        <w:rPr>
          <w:rFonts w:ascii="Arial" w:cs="Arial" w:eastAsia="Arial" w:hAnsi="Arial"/>
          <w:sz w:val="18"/>
          <w:szCs w:val="18"/>
          <w:b w:val="1"/>
          <w:bCs w:val="1"/>
          <w:color w:val="auto"/>
        </w:rPr>
      </w:pPr>
    </w:p>
    <w:p>
      <w:pPr>
        <w:ind w:left="1180" w:hanging="259"/>
        <w:spacing w:after="0"/>
        <w:tabs>
          <w:tab w:leader="none" w:pos="1180" w:val="left"/>
        </w:tabs>
        <w:numPr>
          <w:ilvl w:val="2"/>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COBRA Payments.</w:t>
      </w:r>
    </w:p>
    <w:p>
      <w:pPr>
        <w:spacing w:after="0" w:line="96" w:lineRule="exact"/>
        <w:rPr>
          <w:rFonts w:ascii="Arial" w:cs="Arial" w:eastAsia="Arial" w:hAnsi="Arial"/>
          <w:sz w:val="18"/>
          <w:szCs w:val="18"/>
          <w:b w:val="1"/>
          <w:bCs w:val="1"/>
          <w:color w:val="auto"/>
        </w:rPr>
      </w:pPr>
    </w:p>
    <w:p>
      <w:pPr>
        <w:ind w:right="120" w:firstLine="1948"/>
        <w:spacing w:after="0" w:line="284" w:lineRule="auto"/>
        <w:tabs>
          <w:tab w:leader="none" w:pos="2149" w:val="left"/>
        </w:tabs>
        <w:numPr>
          <w:ilvl w:val="3"/>
          <w:numId w:val="32"/>
        </w:numPr>
        <w:rPr>
          <w:rFonts w:ascii="Arial" w:cs="Arial" w:eastAsia="Arial" w:hAnsi="Arial"/>
          <w:sz w:val="16"/>
          <w:szCs w:val="16"/>
          <w:b w:val="1"/>
          <w:bCs w:val="1"/>
          <w:color w:val="auto"/>
        </w:rPr>
      </w:pPr>
      <w:r>
        <w:rPr>
          <w:rFonts w:ascii="Arial" w:cs="Arial" w:eastAsia="Arial" w:hAnsi="Arial"/>
          <w:sz w:val="16"/>
          <w:szCs w:val="16"/>
          <w:color w:val="auto"/>
        </w:rPr>
        <w:t xml:space="preserve">If you timely elect continued coverage under COBRA, then the Company will reimburse you for your COBRA premiums necessary to continue your current health insurance coverage (including coverage for eligible dependents, if applicable) (“COBRA Premiums”) for nine months after the Separation Date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will cease to reimburse your for the COBRA Premiums if:</w:t>
      </w:r>
    </w:p>
    <w:p>
      <w:pPr>
        <w:spacing w:after="0" w:line="1" w:lineRule="exact"/>
        <w:rPr>
          <w:rFonts w:ascii="Arial" w:cs="Arial" w:eastAsia="Arial" w:hAnsi="Arial"/>
          <w:sz w:val="16"/>
          <w:szCs w:val="16"/>
          <w:b w:val="1"/>
          <w:bCs w:val="1"/>
          <w:color w:val="auto"/>
        </w:rPr>
      </w:pPr>
    </w:p>
    <w:p>
      <w:pPr>
        <w:ind w:right="180" w:firstLine="8"/>
        <w:spacing w:after="0" w:line="255"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become eligible for group health insurance coverage through a new employer, or (b) you cease to be eligible for COBRA continuation coverage. If you become covered under another employer’s group health plan or otherwise cease to be eligible for COBRA during the COBRA Premium Period, you must immediately notify the Company in writing.</w:t>
      </w:r>
    </w:p>
    <w:p>
      <w:pPr>
        <w:spacing w:after="0" w:line="144" w:lineRule="exact"/>
        <w:rPr>
          <w:rFonts w:ascii="Arial" w:cs="Arial" w:eastAsia="Arial" w:hAnsi="Arial"/>
          <w:sz w:val="18"/>
          <w:szCs w:val="18"/>
          <w:color w:val="auto"/>
        </w:rPr>
      </w:pPr>
    </w:p>
    <w:p>
      <w:pPr>
        <w:ind w:firstLine="1948"/>
        <w:spacing w:after="0" w:line="253" w:lineRule="auto"/>
        <w:tabs>
          <w:tab w:leader="none" w:pos="2198" w:val="left"/>
        </w:tabs>
        <w:numPr>
          <w:ilvl w:val="3"/>
          <w:numId w:val="3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if the Company determines, in its sole discretion, that it cannot reimburse your for the COBRA Premiums without potentially incurring financial costs or penalties under applicable law (including, without limitation, Section 2716 of the Public Health Service Act), the Company instead shall pay to you, on the first day of each month, a fully taxable cash payment equal to the amount of the monthly COBRA premium you would be required to pay to continue your group health coverage (including coverage for any covered dependents) (such amount, the “Special Cash Payment”), for a number of months equal to the lesser of (1) the duration of the period in which you and your eligible dependents are enrolled in such COBRA coverage (and not otherwise covered by another employer’s group health plan) and (2) the number of months remaining in the COBRA Premium Period. In the event the Company opts for the Special Cash Payments, you could use, but would not be obligated to use, the Special Cash Payments toward the cost of COBRA premiums.</w:t>
      </w:r>
    </w:p>
    <w:p>
      <w:pPr>
        <w:spacing w:after="0" w:line="139" w:lineRule="exact"/>
        <w:rPr>
          <w:rFonts w:ascii="Arial" w:cs="Arial" w:eastAsia="Arial" w:hAnsi="Arial"/>
          <w:sz w:val="18"/>
          <w:szCs w:val="18"/>
          <w:b w:val="1"/>
          <w:bCs w:val="1"/>
          <w:color w:val="auto"/>
        </w:rPr>
      </w:pPr>
    </w:p>
    <w:p>
      <w:pPr>
        <w:ind w:right="280" w:firstLine="921"/>
        <w:spacing w:after="0" w:line="275" w:lineRule="auto"/>
        <w:tabs>
          <w:tab w:leader="none" w:pos="1152" w:val="left"/>
        </w:tabs>
        <w:numPr>
          <w:ilvl w:val="2"/>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Your “</w:t>
      </w:r>
      <w:r>
        <w:rPr>
          <w:rFonts w:ascii="Arial" w:cs="Arial" w:eastAsia="Arial" w:hAnsi="Arial"/>
          <w:sz w:val="18"/>
          <w:szCs w:val="18"/>
          <w:b w:val="1"/>
          <w:bCs w:val="1"/>
          <w:color w:val="auto"/>
        </w:rPr>
        <w:t>Equity</w:t>
      </w:r>
      <w:r>
        <w:rPr>
          <w:rFonts w:ascii="Arial" w:cs="Arial" w:eastAsia="Arial" w:hAnsi="Arial"/>
          <w:sz w:val="18"/>
          <w:szCs w:val="18"/>
          <w:color w:val="auto"/>
        </w:rPr>
        <w:t>” consists of the following outstanding stock options held by you: (i) an option to purchase 226,651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granted on January 15, 2010 with an exercise price of $0.6356 per share; and (ii) an option to purchase</w:t>
      </w:r>
    </w:p>
    <w:p>
      <w:pPr>
        <w:sectPr>
          <w:pgSz w:w="11900" w:h="16838" w:orient="portrait"/>
          <w:cols w:equalWidth="0" w:num="1">
            <w:col w:w="11360"/>
          </w:cols>
          <w:pgMar w:left="240" w:top="280" w:right="2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66,367 shares of Common Stock granted on July 15, 2010 with an exercise price of $1.6344 per share (with such option numbers and exercise prices reflecting the Company’s 1-for-9.08 reverse stock split effected in March 2012). You hold no other stock options or other equity securities of the Company. Vesting of your Equity will cease as of the Separation Date; provided, however, that as part of this Agreement, the Company will accelerate the vesting of the Equity such that the options which otherwise would have vested in the three months after the Separation Date had you continued your employment shall be deemed vested as of the Separation Date. Except as expressly modified herein, the Equity will continue to be governed by the terms of the applicable equity documents.</w:t>
      </w:r>
    </w:p>
    <w:p>
      <w:pPr>
        <w:spacing w:after="0" w:line="110" w:lineRule="exact"/>
        <w:rPr>
          <w:sz w:val="20"/>
          <w:szCs w:val="20"/>
          <w:color w:val="auto"/>
        </w:rPr>
      </w:pPr>
    </w:p>
    <w:p>
      <w:pPr>
        <w:ind w:firstLine="921"/>
        <w:spacing w:after="0" w:line="287" w:lineRule="auto"/>
        <w:tabs>
          <w:tab w:leader="none" w:pos="1171" w:val="left"/>
        </w:tabs>
        <w:numPr>
          <w:ilvl w:val="1"/>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2012 Performance Bonus Program. </w:t>
      </w:r>
      <w:r>
        <w:rPr>
          <w:rFonts w:ascii="Arial" w:cs="Arial" w:eastAsia="Arial" w:hAnsi="Arial"/>
          <w:sz w:val="16"/>
          <w:szCs w:val="16"/>
          <w:color w:val="auto"/>
        </w:rPr>
        <w:t>You will become eligible to receive a bonus pursuant to the 2012 cash performance bonus program adopted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Compensation Committee of the Board and described in the Company’s Current Report on Form 8-K/A filed with the Securities and Exchange Commission on May 17, 2012 (the </w:t>
      </w:r>
      <w:r>
        <w:rPr>
          <w:rFonts w:ascii="Arial" w:cs="Arial" w:eastAsia="Arial" w:hAnsi="Arial"/>
          <w:sz w:val="16"/>
          <w:szCs w:val="16"/>
          <w:b w:val="1"/>
          <w:bCs w:val="1"/>
          <w:color w:val="auto"/>
        </w:rPr>
        <w:t>“2012 Performance Bonus Program</w:t>
      </w:r>
      <w:r>
        <w:rPr>
          <w:rFonts w:ascii="Arial" w:cs="Arial" w:eastAsia="Arial" w:hAnsi="Arial"/>
          <w:sz w:val="16"/>
          <w:szCs w:val="16"/>
          <w:color w:val="auto"/>
        </w:rPr>
        <w:t>”). Your target bonus opportunity will be 50% of your 2012 adjusted base salary and will be determined based solely upon achievement of the Company’s corporate goals (not based on any individual or department goals). Your eligibility to receive a bonus under the 2012 Performance Bonus Program would normally terminate after the Separation Date, since you would no longer be employed by the Company. Nevertheless, and as a further severance benefit, after the Separation Date, you will remain eligible to participate in the 2012 Performance Bonus Program to the same extent as other executive employees of the Company, provided that any bonus which you may be awarded under the 2012 Performance Bonus Plan will be pro-rated based on the length of your 2012 service to the Company and you will be treated the same as other executive officers with regard to determinations of bonuses based on achievement of the Company’s corporate goals. Whether or not any bonus is paid to executive officers in any year is within the discretion of the Compensation Committee. Any bonus payable to you under the 2012 Performance Bonus Program will be paid, subject to applicable payroll deductions and withholdings, on or within ten (10) business days after the date active eligible executive officers are paid their bonuses under the 2012 Performance Bonus Program.</w:t>
      </w:r>
    </w:p>
    <w:p>
      <w:pPr>
        <w:spacing w:after="0" w:line="114" w:lineRule="exact"/>
        <w:rPr>
          <w:rFonts w:ascii="Arial" w:cs="Arial" w:eastAsia="Arial" w:hAnsi="Arial"/>
          <w:sz w:val="16"/>
          <w:szCs w:val="16"/>
          <w:b w:val="1"/>
          <w:bCs w:val="1"/>
          <w:color w:val="auto"/>
        </w:rPr>
      </w:pPr>
    </w:p>
    <w:p>
      <w:pPr>
        <w:ind w:right="440" w:firstLine="921"/>
        <w:spacing w:after="0" w:line="262" w:lineRule="auto"/>
        <w:tabs>
          <w:tab w:leader="none" w:pos="1152" w:val="left"/>
        </w:tabs>
        <w:numPr>
          <w:ilvl w:val="1"/>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It is intended that the Severance Payment be exempt from Section 409A of the Internal Revenue Code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Regulations Sections 1.409A-1(b)(4) and 1.409A-1(b)(9)(iii) and will be implemented and construed in accordance therewith to the greatest extent permitted under applicable law.</w:t>
      </w:r>
    </w:p>
    <w:p>
      <w:pPr>
        <w:spacing w:after="0" w:line="132" w:lineRule="exact"/>
        <w:rPr>
          <w:rFonts w:ascii="Arial" w:cs="Arial" w:eastAsia="Arial" w:hAnsi="Arial"/>
          <w:sz w:val="18"/>
          <w:szCs w:val="18"/>
          <w:b w:val="1"/>
          <w:bCs w:val="1"/>
          <w:color w:val="auto"/>
        </w:rPr>
      </w:pPr>
    </w:p>
    <w:p>
      <w:pPr>
        <w:ind w:right="80" w:firstLine="464"/>
        <w:spacing w:after="0" w:line="262" w:lineRule="auto"/>
        <w:tabs>
          <w:tab w:leader="none" w:pos="63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Other Compensation or Benefits. </w:t>
      </w:r>
      <w:r>
        <w:rPr>
          <w:rFonts w:ascii="Arial" w:cs="Arial" w:eastAsia="Arial" w:hAnsi="Arial"/>
          <w:sz w:val="18"/>
          <w:szCs w:val="18"/>
          <w:color w:val="auto"/>
        </w:rPr>
        <w:t>You acknowledge that, except as expressly provided in this Agreement, you have not earned and will not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any additional compensation, severance, or benefits on or after the Separation Date, with the exception of any vested right you may have under the express terms of a written ERISA-qualified benefit plan (e.g., 401(k) account).</w:t>
      </w:r>
    </w:p>
    <w:p>
      <w:pPr>
        <w:spacing w:after="0" w:line="132" w:lineRule="exact"/>
        <w:rPr>
          <w:rFonts w:ascii="Arial" w:cs="Arial" w:eastAsia="Arial" w:hAnsi="Arial"/>
          <w:sz w:val="18"/>
          <w:szCs w:val="18"/>
          <w:b w:val="1"/>
          <w:bCs w:val="1"/>
          <w:color w:val="auto"/>
        </w:rPr>
      </w:pPr>
    </w:p>
    <w:p>
      <w:pPr>
        <w:ind w:right="1020" w:firstLine="464"/>
        <w:spacing w:after="0" w:line="275" w:lineRule="auto"/>
        <w:tabs>
          <w:tab w:leader="none" w:pos="63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thirty (30)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w:t>
      </w:r>
    </w:p>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reflecting all business expenses you incurred through the Separation Date, if any, for which you seek reimbursement. The Company will reimburse you for these expenses pursuant to its regular business practice.</w:t>
      </w:r>
    </w:p>
    <w:p>
      <w:pPr>
        <w:spacing w:after="0" w:line="126" w:lineRule="exact"/>
        <w:rPr>
          <w:sz w:val="20"/>
          <w:szCs w:val="20"/>
          <w:color w:val="auto"/>
        </w:rPr>
      </w:pPr>
    </w:p>
    <w:p>
      <w:pPr>
        <w:ind w:right="60" w:firstLine="464"/>
        <w:spacing w:after="0" w:line="290" w:lineRule="auto"/>
        <w:tabs>
          <w:tab w:leader="none" w:pos="632"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By no later than the close of business on the Separation Date, you shall return to the Company all Company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all copies thereof) and other Company property in your possession or control. You agree that you will make a diligent search to locate any such documents, property and information within the timeframe referenced above. In addition, if you have used any personally owned computer, server, or e-mail system to receive, store, review, prepare or transmit any confidential or proprietary data, materials or information of the Company, then within five (5) business days after the Separation Date, you must provide the Company with a computer-useable copy of such information and then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w:t>
      </w:r>
      <w:r>
        <w:rPr>
          <w:rFonts w:ascii="Arial" w:cs="Arial" w:eastAsia="Arial" w:hAnsi="Arial"/>
          <w:sz w:val="16"/>
          <w:szCs w:val="16"/>
          <w:b w:val="1"/>
          <w:bCs w:val="1"/>
          <w:color w:val="auto"/>
        </w:rPr>
        <w:t>Your timely compliance with the provisions of this paragraph is</w:t>
      </w:r>
      <w:r>
        <w:rPr>
          <w:rFonts w:ascii="Arial" w:cs="Arial" w:eastAsia="Arial" w:hAnsi="Arial"/>
          <w:sz w:val="16"/>
          <w:szCs w:val="16"/>
          <w:color w:val="auto"/>
        </w:rPr>
        <w:t xml:space="preserve"> </w:t>
      </w:r>
      <w:r>
        <w:rPr>
          <w:rFonts w:ascii="Arial" w:cs="Arial" w:eastAsia="Arial" w:hAnsi="Arial"/>
          <w:sz w:val="16"/>
          <w:szCs w:val="16"/>
          <w:b w:val="1"/>
          <w:bCs w:val="1"/>
          <w:color w:val="auto"/>
        </w:rPr>
        <w:t>a precondition to your receipt of the severance benefits provided hereunder.</w:t>
      </w:r>
    </w:p>
    <w:p>
      <w:pPr>
        <w:spacing w:after="0" w:line="112" w:lineRule="exact"/>
        <w:rPr>
          <w:rFonts w:ascii="Arial" w:cs="Arial" w:eastAsia="Arial" w:hAnsi="Arial"/>
          <w:sz w:val="16"/>
          <w:szCs w:val="16"/>
          <w:b w:val="1"/>
          <w:bCs w:val="1"/>
          <w:color w:val="auto"/>
        </w:rPr>
      </w:pPr>
    </w:p>
    <w:p>
      <w:pPr>
        <w:ind w:right="620" w:firstLine="464"/>
        <w:spacing w:after="0" w:line="275" w:lineRule="auto"/>
        <w:tabs>
          <w:tab w:leader="none" w:pos="63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Proprietary Information Obligations. </w:t>
      </w:r>
      <w:r>
        <w:rPr>
          <w:rFonts w:ascii="Arial" w:cs="Arial" w:eastAsia="Arial" w:hAnsi="Arial"/>
          <w:sz w:val="18"/>
          <w:szCs w:val="18"/>
          <w:color w:val="auto"/>
        </w:rPr>
        <w:t>You acknowledge and reaffirm your obligations under your signed Employee Invention Assignment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Confidentiality Agreement, a copy of which is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for your reference.</w:t>
      </w:r>
    </w:p>
    <w:p>
      <w:pPr>
        <w:spacing w:after="0" w:line="119" w:lineRule="exact"/>
        <w:rPr>
          <w:rFonts w:ascii="Arial" w:cs="Arial" w:eastAsia="Arial" w:hAnsi="Arial"/>
          <w:sz w:val="18"/>
          <w:szCs w:val="18"/>
          <w:b w:val="1"/>
          <w:bCs w:val="1"/>
          <w:color w:val="auto"/>
        </w:rPr>
      </w:pPr>
    </w:p>
    <w:p>
      <w:pPr>
        <w:ind w:firstLine="464"/>
        <w:spacing w:after="0" w:line="258" w:lineRule="auto"/>
        <w:tabs>
          <w:tab w:leader="none" w:pos="63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officers, directors, employees, shareholders and agents,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be harmful to them or their business, business reputation or personal reputation, and the Company agrees to direct its directors and officers not to disparage you in any manner likely to be harmful to your business or personal reputation; provided that all parties may respond accurately and fully to any request for information if required by legal process.</w:t>
      </w:r>
    </w:p>
    <w:p>
      <w:pPr>
        <w:spacing w:after="0" w:line="136" w:lineRule="exact"/>
        <w:rPr>
          <w:rFonts w:ascii="Arial" w:cs="Arial" w:eastAsia="Arial" w:hAnsi="Arial"/>
          <w:sz w:val="18"/>
          <w:szCs w:val="18"/>
          <w:b w:val="1"/>
          <w:bCs w:val="1"/>
          <w:color w:val="auto"/>
        </w:rPr>
      </w:pPr>
    </w:p>
    <w:p>
      <w:pPr>
        <w:ind w:right="260" w:firstLine="464"/>
        <w:spacing w:after="0" w:line="262" w:lineRule="auto"/>
        <w:tabs>
          <w:tab w:leader="none" w:pos="7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Voluntary Adverse Action. </w:t>
      </w:r>
      <w:r>
        <w:rPr>
          <w:rFonts w:ascii="Arial" w:cs="Arial" w:eastAsia="Arial" w:hAnsi="Arial"/>
          <w:sz w:val="18"/>
          <w:szCs w:val="18"/>
          <w:color w:val="auto"/>
        </w:rPr>
        <w:t>You agree that you will not voluntarily (except in response to legal compulsion ) assist any person in bringing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pursuing any proposed or pending litigation, arbitration, administrative claim or other formal proceeding against the Company, its parent or subsidiary entities, affiliates, officers, directors, employees or agents.</w:t>
      </w:r>
    </w:p>
    <w:p>
      <w:pPr>
        <w:spacing w:after="0" w:line="132" w:lineRule="exact"/>
        <w:rPr>
          <w:rFonts w:ascii="Arial" w:cs="Arial" w:eastAsia="Arial" w:hAnsi="Arial"/>
          <w:sz w:val="18"/>
          <w:szCs w:val="18"/>
          <w:b w:val="1"/>
          <w:bCs w:val="1"/>
          <w:color w:val="auto"/>
        </w:rPr>
      </w:pPr>
    </w:p>
    <w:p>
      <w:pPr>
        <w:ind w:right="40" w:firstLine="464"/>
        <w:spacing w:after="0" w:line="293" w:lineRule="auto"/>
        <w:tabs>
          <w:tab w:leader="none" w:pos="71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You agree to cooperate fully with the Company in connection with its actual or contemplated defense, prosecution, or investigation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right="740" w:firstLine="464"/>
        <w:spacing w:after="0" w:line="339" w:lineRule="auto"/>
        <w:tabs>
          <w:tab w:leader="none" w:pos="7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Admissions. </w:t>
      </w:r>
      <w:r>
        <w:rPr>
          <w:rFonts w:ascii="Arial" w:cs="Arial" w:eastAsia="Arial" w:hAnsi="Arial"/>
          <w:sz w:val="16"/>
          <w:szCs w:val="16"/>
          <w:color w:val="auto"/>
        </w:rPr>
        <w:t>You understand and agree that the promises and payments in consideration of this Agreement shall not be construed to be an</w:t>
      </w:r>
      <w:r>
        <w:rPr>
          <w:rFonts w:ascii="Arial" w:cs="Arial" w:eastAsia="Arial" w:hAnsi="Arial"/>
          <w:sz w:val="16"/>
          <w:szCs w:val="16"/>
          <w:b w:val="1"/>
          <w:bCs w:val="1"/>
          <w:color w:val="auto"/>
        </w:rPr>
        <w:t xml:space="preserve"> </w:t>
      </w:r>
      <w:r>
        <w:rPr>
          <w:rFonts w:ascii="Arial" w:cs="Arial" w:eastAsia="Arial" w:hAnsi="Arial"/>
          <w:sz w:val="16"/>
          <w:szCs w:val="16"/>
          <w:color w:val="auto"/>
        </w:rPr>
        <w:t>admission of any liability or obligation by the Company to you or to any other person, and that the Company makes no such admission.</w:t>
      </w:r>
    </w:p>
    <w:p>
      <w:pPr>
        <w:spacing w:after="0" w:line="155" w:lineRule="exact"/>
        <w:rPr>
          <w:rFonts w:ascii="Arial" w:cs="Arial" w:eastAsia="Arial" w:hAnsi="Arial"/>
          <w:sz w:val="16"/>
          <w:szCs w:val="16"/>
          <w:b w:val="1"/>
          <w:bCs w:val="1"/>
          <w:color w:val="auto"/>
        </w:rPr>
      </w:pPr>
    </w:p>
    <w:p>
      <w:pPr>
        <w:ind w:left="720" w:hanging="256"/>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p>
    <w:p>
      <w:pPr>
        <w:spacing w:after="0" w:line="90" w:lineRule="exact"/>
        <w:rPr>
          <w:rFonts w:ascii="Arial" w:cs="Arial" w:eastAsia="Arial" w:hAnsi="Arial"/>
          <w:sz w:val="18"/>
          <w:szCs w:val="18"/>
          <w:b w:val="1"/>
          <w:bCs w:val="1"/>
          <w:color w:val="auto"/>
        </w:rPr>
      </w:pPr>
    </w:p>
    <w:p>
      <w:pPr>
        <w:ind w:firstLine="921"/>
        <w:spacing w:after="0" w:line="296" w:lineRule="auto"/>
        <w:tabs>
          <w:tab w:leader="none" w:pos="1162"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In exchange for the consideration provided to you under this Agreement to which you would not otherwise be entitled, you</w:t>
      </w:r>
      <w:r>
        <w:rPr>
          <w:rFonts w:ascii="Arial" w:cs="Arial" w:eastAsia="Arial" w:hAnsi="Arial"/>
          <w:sz w:val="16"/>
          <w:szCs w:val="16"/>
          <w:b w:val="1"/>
          <w:bCs w:val="1"/>
          <w:color w:val="auto"/>
        </w:rPr>
        <w:t xml:space="preserve"> </w:t>
      </w:r>
      <w:r>
        <w:rPr>
          <w:rFonts w:ascii="Arial" w:cs="Arial" w:eastAsia="Arial" w:hAnsi="Arial"/>
          <w:sz w:val="16"/>
          <w:szCs w:val="16"/>
          <w:color w:val="auto"/>
        </w:rPr>
        <w:t>hereby generally and completely release the Company, and its affiliated, related, parent and subsidiary entities, and its and their current and former directors, officers, employees, shareholders, partners, agents, attorneys, predecessors, successors, insurers, affiliates, and assigns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or on the date you sign this Agreement (collectively, the “</w:t>
      </w:r>
      <w:r>
        <w:rPr>
          <w:rFonts w:ascii="Arial" w:cs="Arial" w:eastAsia="Arial" w:hAnsi="Arial"/>
          <w:sz w:val="16"/>
          <w:szCs w:val="16"/>
          <w:b w:val="1"/>
          <w:bCs w:val="1"/>
          <w:color w:val="auto"/>
        </w:rPr>
        <w:t>Released Claims</w:t>
      </w:r>
      <w:r>
        <w:rPr>
          <w:rFonts w:ascii="Arial" w:cs="Arial" w:eastAsia="Arial" w:hAnsi="Arial"/>
          <w:sz w:val="16"/>
          <w:szCs w:val="16"/>
          <w:color w:val="auto"/>
        </w:rPr>
        <w:t>”).</w:t>
      </w:r>
    </w:p>
    <w:p>
      <w:pPr>
        <w:spacing w:after="0" w:line="107" w:lineRule="exact"/>
        <w:rPr>
          <w:rFonts w:ascii="Arial" w:cs="Arial" w:eastAsia="Arial" w:hAnsi="Arial"/>
          <w:sz w:val="16"/>
          <w:szCs w:val="16"/>
          <w:b w:val="1"/>
          <w:bCs w:val="1"/>
          <w:color w:val="auto"/>
        </w:rPr>
      </w:pPr>
    </w:p>
    <w:p>
      <w:pPr>
        <w:ind w:right="180" w:firstLine="921"/>
        <w:spacing w:after="0" w:line="290" w:lineRule="auto"/>
        <w:tabs>
          <w:tab w:leader="none" w:pos="1171"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Scope of Release. </w:t>
      </w:r>
      <w:r>
        <w:rPr>
          <w:rFonts w:ascii="Arial" w:cs="Arial" w:eastAsia="Arial" w:hAnsi="Arial"/>
          <w:sz w:val="16"/>
          <w:szCs w:val="16"/>
          <w:color w:val="auto"/>
        </w:rPr>
        <w:t>The Released Claims include, but are not limited to: (i) all claims arising out of or in any way related to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or the termination of that employment; (ii) all claims related to your compensation or benefits from the Company, including salary, bonuses, commissions, vacation,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6"/>
          <w:szCs w:val="16"/>
          <w:b w:val="1"/>
          <w:bCs w:val="1"/>
          <w:color w:val="auto"/>
        </w:rPr>
        <w:t>ADEA</w:t>
      </w:r>
      <w:r>
        <w:rPr>
          <w:rFonts w:ascii="Arial" w:cs="Arial" w:eastAsia="Arial" w:hAnsi="Arial"/>
          <w:sz w:val="16"/>
          <w:szCs w:val="16"/>
          <w:color w:val="auto"/>
        </w:rPr>
        <w:t>”), the California Labor Code (as amended), and the California Fair Employment and Housing Act (as amended).</w:t>
      </w:r>
    </w:p>
    <w:p>
      <w:pPr>
        <w:spacing w:after="0" w:line="112" w:lineRule="exact"/>
        <w:rPr>
          <w:rFonts w:ascii="Arial" w:cs="Arial" w:eastAsia="Arial" w:hAnsi="Arial"/>
          <w:sz w:val="16"/>
          <w:szCs w:val="16"/>
          <w:b w:val="1"/>
          <w:bCs w:val="1"/>
          <w:color w:val="auto"/>
        </w:rPr>
      </w:pPr>
    </w:p>
    <w:p>
      <w:pPr>
        <w:ind w:right="40" w:firstLine="921"/>
        <w:spacing w:after="0" w:line="291" w:lineRule="auto"/>
        <w:tabs>
          <w:tab w:leader="none" w:pos="1152"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Excluded Claims. </w:t>
      </w:r>
      <w:r>
        <w:rPr>
          <w:rFonts w:ascii="Arial" w:cs="Arial" w:eastAsia="Arial" w:hAnsi="Arial"/>
          <w:sz w:val="16"/>
          <w:szCs w:val="16"/>
          <w:color w:val="auto"/>
        </w:rPr>
        <w:t>Notwithstanding the foregoing, the following are not included in the Released Claims (the “</w:t>
      </w:r>
      <w:r>
        <w:rPr>
          <w:rFonts w:ascii="Arial" w:cs="Arial" w:eastAsia="Arial" w:hAnsi="Arial"/>
          <w:sz w:val="16"/>
          <w:szCs w:val="16"/>
          <w:b w:val="1"/>
          <w:bCs w:val="1"/>
          <w:color w:val="auto"/>
        </w:rPr>
        <w:t>Excluded Claims</w:t>
      </w:r>
      <w:r>
        <w:rPr>
          <w:rFonts w:ascii="Arial" w:cs="Arial" w:eastAsia="Arial" w:hAnsi="Arial"/>
          <w:sz w:val="16"/>
          <w:szCs w:val="16"/>
          <w:color w:val="auto"/>
        </w:rPr>
        <w:t>”): (i) any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or claims for indemnification you may have pursuant to any written indemnification agreement with the Company to which you are a party or under applicable law; (ii) any rights which are not waivable as a matter of law; and (iii) any claims for breach of this Agreement. In addition, nothing in this Agreement prevents you from filing, cooperating with, or participating in any proceeding before the Equal Employment Opportunity Commission, the Department of Labor, the California Department of Fair Employment and Housing, or any other government agency, except that you acknowledge and agree that you hereby waive your right to any monetary benefits in connection with any such claim, charge or proceeding. You represent and warrant that, other than the Excluded Claims, you are not aware of any claims you have or might have against any of the Released Parties that are not included in the Released Claims.</w:t>
      </w:r>
    </w:p>
    <w:p>
      <w:pPr>
        <w:sectPr>
          <w:pgSz w:w="11900" w:h="16838" w:orient="portrait"/>
          <w:cols w:equalWidth="0" w:num="1">
            <w:col w:w="11420"/>
          </w:cols>
          <w:pgMar w:left="240" w:top="2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ind w:right="140" w:firstLine="921"/>
        <w:spacing w:after="0" w:line="285" w:lineRule="auto"/>
        <w:tabs>
          <w:tab w:leader="none" w:pos="1171" w:val="left"/>
        </w:tabs>
        <w:numPr>
          <w:ilvl w:val="2"/>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ADEA Waiver. </w:t>
      </w:r>
      <w:r>
        <w:rPr>
          <w:rFonts w:ascii="Arial" w:cs="Arial" w:eastAsia="Arial" w:hAnsi="Arial"/>
          <w:sz w:val="16"/>
          <w:szCs w:val="16"/>
          <w:color w:val="auto"/>
        </w:rPr>
        <w:t>You acknowledge that you are knowingly and voluntarily waiving and releasing any rights you may have under the ADEA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ADEA Waiver</w:t>
      </w:r>
      <w:r>
        <w:rPr>
          <w:rFonts w:ascii="Arial" w:cs="Arial" w:eastAsia="Arial" w:hAnsi="Arial"/>
          <w:sz w:val="16"/>
          <w:szCs w:val="16"/>
          <w:color w:val="auto"/>
        </w:rPr>
        <w:t>”), and that the consideration given for the ADEA Waiver is in addition to anything of value to which you are already entitled. You further acknowledge that you have been advised, as required by the ADEA, that: (i) your ADEA Waiver does not apply to any rights or claims that may arise after the date that you sign this Agreement; (ii) you should consult with an attorney prior to signing this Agreement (although you may choose voluntarily not to do so);</w:t>
      </w:r>
    </w:p>
    <w:p>
      <w:pPr>
        <w:spacing w:after="0" w:line="2" w:lineRule="exact"/>
        <w:rPr>
          <w:rFonts w:ascii="Arial" w:cs="Arial" w:eastAsia="Arial" w:hAnsi="Arial"/>
          <w:sz w:val="16"/>
          <w:szCs w:val="16"/>
          <w:b w:val="1"/>
          <w:bCs w:val="1"/>
          <w:color w:val="auto"/>
        </w:rPr>
      </w:pPr>
    </w:p>
    <w:p>
      <w:pPr>
        <w:ind w:right="40" w:firstLine="8"/>
        <w:spacing w:after="0" w:line="254" w:lineRule="auto"/>
        <w:tabs>
          <w:tab w:leader="none" w:pos="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have twenty-one (21) days to consider this Agreement (although you may choose voluntarily to sign it earlier); (iv) you have seven (7) days following the date you sign this Agreement to revoke the ADEA Waiver (by providing written notice of your revocation to the Company’s CEO); and (v) the ADEA Waiver will not be effective until the date upon which the revocation period has expired, which will be the eighth day after the date that this Agreement is signed by you provided that you do not revoke it.</w:t>
      </w:r>
    </w:p>
    <w:p>
      <w:pPr>
        <w:spacing w:after="0" w:line="137" w:lineRule="exact"/>
        <w:rPr>
          <w:rFonts w:ascii="Arial" w:cs="Arial" w:eastAsia="Arial" w:hAnsi="Arial"/>
          <w:sz w:val="18"/>
          <w:szCs w:val="18"/>
          <w:color w:val="auto"/>
        </w:rPr>
      </w:pPr>
    </w:p>
    <w:p>
      <w:pPr>
        <w:ind w:right="40" w:firstLine="464"/>
        <w:spacing w:after="0" w:line="262" w:lineRule="auto"/>
        <w:tabs>
          <w:tab w:leader="none" w:pos="695" w:val="left"/>
        </w:tabs>
        <w:numPr>
          <w:ilvl w:val="1"/>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1542 Waiver. </w:t>
      </w:r>
      <w:r>
        <w:rPr>
          <w:rFonts w:ascii="Arial" w:cs="Arial" w:eastAsia="Arial" w:hAnsi="Arial"/>
          <w:sz w:val="18"/>
          <w:szCs w:val="18"/>
          <w:color w:val="auto"/>
        </w:rPr>
        <w:t>YOU UNDERSTAND THAT THIS AGREEMENT INCLUDES A RELEASE OF ALL KNOWN AND UNKNOWN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 giving the release herein, which includes claims which may be unknown to you at present, you acknowledge that you have read and understand Section 1542 of the California Civil Code, which reads as follows:</w:t>
      </w:r>
    </w:p>
    <w:p>
      <w:pPr>
        <w:spacing w:after="0" w:line="132" w:lineRule="exact"/>
        <w:rPr>
          <w:sz w:val="20"/>
          <w:szCs w:val="20"/>
          <w:color w:val="auto"/>
        </w:rPr>
      </w:pPr>
    </w:p>
    <w:p>
      <w:pPr>
        <w:ind w:left="460" w:right="300"/>
        <w:spacing w:after="0" w:line="339" w:lineRule="auto"/>
        <w:rPr>
          <w:sz w:val="20"/>
          <w:szCs w:val="20"/>
          <w:color w:val="auto"/>
        </w:rPr>
      </w:pPr>
      <w:r>
        <w:rPr>
          <w:rFonts w:ascii="Arial" w:cs="Arial" w:eastAsia="Arial" w:hAnsi="Arial"/>
          <w:sz w:val="16"/>
          <w:szCs w:val="16"/>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8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 hereby expressly waive and relinquish all rights and benefits under that section and any law of any other jurisdiction of similar effect with respect to your release of any unknown or unsuspected claims herein.</w:t>
      </w:r>
    </w:p>
    <w:p>
      <w:pPr>
        <w:spacing w:after="0" w:line="126" w:lineRule="exact"/>
        <w:rPr>
          <w:sz w:val="20"/>
          <w:szCs w:val="20"/>
          <w:color w:val="auto"/>
        </w:rPr>
      </w:pPr>
    </w:p>
    <w:p>
      <w:pPr>
        <w:ind w:firstLine="464"/>
        <w:spacing w:after="0" w:line="289" w:lineRule="auto"/>
        <w:tabs>
          <w:tab w:leader="none" w:pos="7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Agreement, including its exhibits, constitutes the complete, final and exclusive embodiment of the entire agreement between you</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with regard to the subject matter hereof. It is entered into without reliance on any promise or representation, written or oral, other than those expressly contained herein, and it supersedes any other agreements, promises, warranties or representations concerning its subject matter.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Sanjeev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and scanned image copies of signatures shall be equivalent to original signatures.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this Agreement is acceptable to you, please sign and date below within twenty-one (21) days after your receipt of this Agreement, and then send me the fully signed Agreement. The Company’s offer contained herein will automatically expire if we do not receive the fully signed Agreement from you within this timeframe.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wish you the best in your future endeavors.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NPHASE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NERGY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By:  /s/ Paul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Paul Nahi</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A – Employee Agreement and Release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B – Employee Proprietary Information and Inventions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NDERSTOOD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Sanjeev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Sanjeev Kumar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180"/>
          </w:cols>
          <w:pgMar w:left="240" w:top="280" w:right="4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AGREEMENT AND RELEASE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signed on or within twenty-one (21) days after Separation Date.)</w:t>
      </w:r>
    </w:p>
    <w:p>
      <w:pPr>
        <w:spacing w:after="0" w:line="17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In consideration for the severance benefits provided to me by Enphase Energy, Inc. (the “</w:t>
      </w:r>
      <w:r>
        <w:rPr>
          <w:rFonts w:ascii="Arial" w:cs="Arial" w:eastAsia="Arial" w:hAnsi="Arial"/>
          <w:sz w:val="18"/>
          <w:szCs w:val="18"/>
          <w:b w:val="1"/>
          <w:bCs w:val="1"/>
          <w:color w:val="auto"/>
        </w:rPr>
        <w:t>Company</w:t>
      </w:r>
      <w:r>
        <w:rPr>
          <w:rFonts w:ascii="Arial" w:cs="Arial" w:eastAsia="Arial" w:hAnsi="Arial"/>
          <w:sz w:val="18"/>
          <w:szCs w:val="18"/>
          <w:color w:val="auto"/>
        </w:rPr>
        <w:t>”) pursuant to my letter separation agreement with the Company dated August 6, 2012 (the “</w:t>
      </w:r>
      <w:r>
        <w:rPr>
          <w:rFonts w:ascii="Arial" w:cs="Arial" w:eastAsia="Arial" w:hAnsi="Arial"/>
          <w:sz w:val="18"/>
          <w:szCs w:val="18"/>
          <w:b w:val="1"/>
          <w:bCs w:val="1"/>
          <w:color w:val="auto"/>
        </w:rPr>
        <w:t>Agreement</w:t>
      </w:r>
      <w:r>
        <w:rPr>
          <w:rFonts w:ascii="Arial" w:cs="Arial" w:eastAsia="Arial" w:hAnsi="Arial"/>
          <w:sz w:val="18"/>
          <w:szCs w:val="18"/>
          <w:color w:val="auto"/>
        </w:rPr>
        <w:t>”), I agree to the terms below.</w:t>
      </w:r>
    </w:p>
    <w:p>
      <w:pPr>
        <w:spacing w:after="0" w:line="12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 hereby confirm that: I have been paid all compensation owed for all hours worked by me for the Company; I have received all leave and leave benefits and protections for which I was eligible (pursuant to the Family and Medical Leave Act or otherwise) in connection with my work with the Company; and I have not suffered any injury or illness in connection with my work with the Company for which I have not already filed a claim.</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 hereby release the Company, its current and past parents, subsidiaries, successors, predecessors, and affiliates, and each of such entities’ current and past officers, directors, agents, servants, employees, partners, members, managers, attorneys, shareholders, successors, and assigns, of and from any and all claims, liabilities, demands, causes of action, costs, expenses, attorneys fees, damages, indemnities and obligations of every kind and nature, in law, equity, or otherwise, known and unknown, suspected and unsuspected, arising out of or in any way related to agreements, events, acts or conduct at any time prior to and including the date I sign this Employee Agreement and Release (the “</w:t>
      </w:r>
      <w:r>
        <w:rPr>
          <w:rFonts w:ascii="Arial" w:cs="Arial" w:eastAsia="Arial" w:hAnsi="Arial"/>
          <w:sz w:val="16"/>
          <w:szCs w:val="16"/>
          <w:b w:val="1"/>
          <w:bCs w:val="1"/>
          <w:color w:val="auto"/>
        </w:rPr>
        <w:t>Release</w:t>
      </w:r>
      <w:r>
        <w:rPr>
          <w:rFonts w:ascii="Arial" w:cs="Arial" w:eastAsia="Arial" w:hAnsi="Arial"/>
          <w:sz w:val="16"/>
          <w:szCs w:val="16"/>
          <w:color w:val="auto"/>
        </w:rPr>
        <w:t>”).</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release of claims includes, but is not limited to, a release of: (a) all claims directly or indirectly arising out of or in any way connected with my employment with the Company or the termination of that employment; (b) all claims or demands related to salary, bonuses, fees, retirement contributions, profit-sharing rights, commissions, stock, stock options, or any other ownership or equity interests in the Company, vacation pay, fringe benefits, expense reimbursements, severance pay, or any other form of compensation or benefit; (c) claims for breach of contract, wrongful termination, or breach of the implied covenant of good faith and fair dealing; (d) all tort claims, including claims for negligence, fraud, defamation, intentional and negligent infliction of emotional distress, and/or physical injuries; and (e) all federal, state, and local statutory claims or causes of action in any jurisdiction, including but not limited to, claims for discrimination, harassment, retaliation, attorneys’ fees, or claims arising under the federal Civil Rights Act of 1964 (as amended), the federal Americans with Disabilities Act of 1990, the federal Age Discrimination in Employment Act of 1967 (as amended) (the “</w:t>
      </w:r>
      <w:r>
        <w:rPr>
          <w:rFonts w:ascii="Arial" w:cs="Arial" w:eastAsia="Arial" w:hAnsi="Arial"/>
          <w:sz w:val="16"/>
          <w:szCs w:val="16"/>
          <w:b w:val="1"/>
          <w:bCs w:val="1"/>
          <w:color w:val="auto"/>
        </w:rPr>
        <w:t>ADEA</w:t>
      </w:r>
      <w:r>
        <w:rPr>
          <w:rFonts w:ascii="Arial" w:cs="Arial" w:eastAsia="Arial" w:hAnsi="Arial"/>
          <w:sz w:val="16"/>
          <w:szCs w:val="16"/>
          <w:color w:val="auto"/>
        </w:rPr>
        <w:t>”), the California Fair Employment and Housing Act (as amended), and/or the California Labor Code.</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the foregoing, excluded from this release are: (i) any rights I have under the Agreement; (ii) any rights to indemnification I may have pursuant to any written indemnification agreement to which I am a party or of which I am a third party beneficiary, or under applicable law; or (iii) any rights or claims that cannot be waived as a matter of law. I am waiving, however, my right to any monetary recovery should any governmental agency or entity pursue any claims on my behalf.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59" w:name="page60"/>
    <w:bookmarkEnd w:id="5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that I am knowingly and voluntarily waiving and releasing any rights I may have under the ADEA (the “</w:t>
      </w:r>
      <w:r>
        <w:rPr>
          <w:rFonts w:ascii="Arial" w:cs="Arial" w:eastAsia="Arial" w:hAnsi="Arial"/>
          <w:sz w:val="16"/>
          <w:szCs w:val="16"/>
          <w:b w:val="1"/>
          <w:bCs w:val="1"/>
          <w:color w:val="auto"/>
        </w:rPr>
        <w:t>Release ADEA Waiver</w:t>
      </w:r>
      <w:r>
        <w:rPr>
          <w:rFonts w:ascii="Arial" w:cs="Arial" w:eastAsia="Arial" w:hAnsi="Arial"/>
          <w:sz w:val="16"/>
          <w:szCs w:val="16"/>
          <w:color w:val="auto"/>
        </w:rPr>
        <w:t>”), and that the consideration given for the Release ADEA Waiver in this paragraph is in addition to anything of value to which I am already entitled. I further acknowledge that I have been advised, as required by the ADEA, that: (i) my Release ADEA Waiver does not apply to any rights or claims that may arise after the date that I sign this Release; (ii) I should consult with an attorney prior to signing this Release (although I may choose voluntarily not to do so); (iii) I have twenty-one (21) days to consider this Release (although I may choose voluntarily to sign it earlier); (iv) I have seven (7) days following the date I sign this Release to revoke the Release ADEA Waiver (by providing written notice of my revocation to the Company’s CEO); and (v) the Release ADEA Waiver will not be effective until the date upon which the revocation period has expired, which will be the eighth day after the date that this Release is signed by me provided that I do not revoke it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 UNDERSTAND THAT THIS RELEASE INCLUDES A RELEASE OF ALL KNOWN AND UNKNOWN CLAIMS. 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 claims which the creditor does not know</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 or legal principle of similar effect in</w:t>
      </w:r>
      <w:r>
        <w:rPr>
          <w:rFonts w:ascii="Arial" w:cs="Arial" w:eastAsia="Arial" w:hAnsi="Arial"/>
          <w:sz w:val="16"/>
          <w:szCs w:val="16"/>
          <w:b w:val="1"/>
          <w:bCs w:val="1"/>
          <w:color w:val="auto"/>
        </w:rPr>
        <w:t xml:space="preserve"> </w:t>
      </w:r>
      <w:r>
        <w:rPr>
          <w:rFonts w:ascii="Arial" w:cs="Arial" w:eastAsia="Arial" w:hAnsi="Arial"/>
          <w:sz w:val="16"/>
          <w:szCs w:val="16"/>
          <w:color w:val="auto"/>
        </w:rPr>
        <w:t>any jurisdiction with respect to my release of claims herein, including but not limited to the release of unknown and unsuspected claims.</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Release, together with the Agreement (including all exhibits thereto), constitutes the complete, final and exclusive embodiment of the entire agreement between me and the Company with regard to this subject matter.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Sanjeev Kumar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328"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EMPLOYEE PROPRIETARY INFORMATION AND INVENTIONS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490"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59" w:lineRule="exact"/>
        <w:rPr>
          <w:sz w:val="20"/>
          <w:szCs w:val="20"/>
          <w:color w:val="auto"/>
        </w:rPr>
      </w:pPr>
    </w:p>
    <w:p>
      <w:pPr>
        <w:jc w:val="both"/>
        <w:ind w:right="500" w:firstLine="456"/>
        <w:spacing w:after="0" w:line="310"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HIS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4 </w:t>
      </w:r>
      <w:r>
        <w:rPr>
          <w:rFonts w:ascii="Arial" w:cs="Arial" w:eastAsia="Arial" w:hAnsi="Arial"/>
          <w:sz w:val="13"/>
          <w:szCs w:val="13"/>
          <w:b w:val="1"/>
          <w:bCs w:val="1"/>
          <w:color w:val="auto"/>
        </w:rPr>
        <w:t>TO</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OAN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ECURITY</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27th day of July, 2012 by and between</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NPHASE</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NERGY</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w:t>
      </w:r>
      <w:r>
        <w:rPr>
          <w:rFonts w:ascii="Arial" w:cs="Arial" w:eastAsia="Arial" w:hAnsi="Arial"/>
          <w:sz w:val="16"/>
          <w:szCs w:val="16"/>
          <w:b w:val="1"/>
          <w:bCs w:val="1"/>
          <w:color w:val="auto"/>
        </w:rPr>
        <w:t>Borrower</w:t>
      </w:r>
      <w:r>
        <w:rPr>
          <w:rFonts w:ascii="Arial" w:cs="Arial" w:eastAsia="Arial" w:hAnsi="Arial"/>
          <w:sz w:val="16"/>
          <w:szCs w:val="16"/>
          <w:color w:val="auto"/>
        </w:rPr>
        <w:t>”), and</w:t>
      </w:r>
      <w:r>
        <w:rPr>
          <w:rFonts w:ascii="Arial" w:cs="Arial" w:eastAsia="Arial" w:hAnsi="Arial"/>
          <w:sz w:val="16"/>
          <w:szCs w:val="16"/>
          <w:b w:val="1"/>
          <w:bCs w:val="1"/>
          <w:color w:val="auto"/>
        </w:rPr>
        <w:t xml:space="preserve"> H</w:t>
      </w:r>
      <w:r>
        <w:rPr>
          <w:rFonts w:ascii="Arial" w:cs="Arial" w:eastAsia="Arial" w:hAnsi="Arial"/>
          <w:sz w:val="13"/>
          <w:szCs w:val="13"/>
          <w:b w:val="1"/>
          <w:bCs w:val="1"/>
          <w:color w:val="auto"/>
        </w:rPr>
        <w:t>ERCULES</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ECHNOLOGY</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ROWTH</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APITAL</w:t>
      </w:r>
      <w:r>
        <w:rPr>
          <w:rFonts w:ascii="Arial" w:cs="Arial" w:eastAsia="Arial" w:hAnsi="Arial"/>
          <w:sz w:val="16"/>
          <w:szCs w:val="16"/>
          <w:b w:val="1"/>
          <w:bCs w:val="1"/>
          <w:color w:val="auto"/>
        </w:rPr>
        <w:t>, I</w:t>
      </w:r>
      <w:r>
        <w:rPr>
          <w:rFonts w:ascii="Arial" w:cs="Arial" w:eastAsia="Arial" w:hAnsi="Arial"/>
          <w:sz w:val="13"/>
          <w:szCs w:val="13"/>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Maryland 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Capitalized terms used herein without definition shall have the same meanings given them in the Loan Agreement (as defined below).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171" w:lineRule="exact"/>
        <w:rPr>
          <w:sz w:val="20"/>
          <w:szCs w:val="20"/>
          <w:color w:val="auto"/>
        </w:rPr>
      </w:pPr>
    </w:p>
    <w:p>
      <w:pPr>
        <w:ind w:right="300" w:firstLine="456"/>
        <w:spacing w:after="0" w:line="301"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The Borrower and the Lender have entered into that certain Loan and Security Agreement dated as of June 13, 2011, as amended by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No. 1, dated as of June 20, 2011, that certain Amendment No. 2, dated as of November 14, 2011, and that certain Amendment No. 3, dated as of December 30, 2011 (as amended, restated, supplemented or otherwise modified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pursuant to which the Lender has agreed to extend and make available to the Borrower certain extensions of credit.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Borrower and the Lender have agreed to amend the Loan Agreement upon the terms and conditions more fully set forth herein.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foregoing Recitals and intending to be legally bound, the parties hereto agree as follows:</w:t>
      </w:r>
    </w:p>
    <w:p>
      <w:pPr>
        <w:spacing w:after="0" w:line="246"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 Section 7.1 (Financial Reports). </w:t>
      </w:r>
      <w:r>
        <w:rPr>
          <w:rFonts w:ascii="Arial" w:cs="Arial" w:eastAsia="Arial" w:hAnsi="Arial"/>
          <w:sz w:val="16"/>
          <w:szCs w:val="16"/>
          <w:u w:val="single" w:color="auto"/>
          <w:color w:val="auto"/>
        </w:rPr>
        <w:t>Sections 7.1(a), (b) and (c)</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Loan Agreement are hereby amended and restated in their entirety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8" w:lineRule="exact"/>
        <w:rPr>
          <w:sz w:val="20"/>
          <w:szCs w:val="20"/>
          <w:color w:val="auto"/>
        </w:rPr>
      </w:pPr>
    </w:p>
    <w:p>
      <w:pPr>
        <w:ind w:left="460" w:right="120" w:firstLine="438"/>
        <w:spacing w:after="0" w:line="275" w:lineRule="auto"/>
        <w:rPr>
          <w:sz w:val="20"/>
          <w:szCs w:val="20"/>
          <w:color w:val="auto"/>
        </w:rPr>
      </w:pPr>
      <w:r>
        <w:rPr>
          <w:rFonts w:ascii="Arial" w:cs="Arial" w:eastAsia="Arial" w:hAnsi="Arial"/>
          <w:sz w:val="18"/>
          <w:szCs w:val="18"/>
          <w:b w:val="1"/>
          <w:bCs w:val="1"/>
          <w:color w:val="auto"/>
        </w:rPr>
        <w:t xml:space="preserve">“7.1 Financial Reports. </w:t>
      </w:r>
      <w:r>
        <w:rPr>
          <w:rFonts w:ascii="Arial" w:cs="Arial" w:eastAsia="Arial" w:hAnsi="Arial"/>
          <w:sz w:val="18"/>
          <w:szCs w:val="18"/>
          <w:color w:val="auto"/>
        </w:rPr>
        <w:t>Borrower shall furnish to Lender the Compliance Certificate in the form of Exhibit D monthly within 30 days after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month and the financial statements listed hereinafter (the “Financial Statements”):</w:t>
      </w:r>
    </w:p>
    <w:p>
      <w:pPr>
        <w:spacing w:after="0" w:line="45" w:lineRule="exact"/>
        <w:rPr>
          <w:sz w:val="20"/>
          <w:szCs w:val="20"/>
          <w:color w:val="auto"/>
        </w:rPr>
      </w:pPr>
    </w:p>
    <w:p>
      <w:pPr>
        <w:ind w:left="460" w:right="20" w:firstLine="881"/>
        <w:spacing w:after="0" w:line="290" w:lineRule="auto"/>
        <w:tabs>
          <w:tab w:leader="none" w:pos="1585"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as soon as practicable (and in any event, within 30 days after the end of each of the first two months of each fiscal quarter, and within 45 days after the end of the last month of each fiscal quarter), unaudited interim and year-to-date financial statements as of the end of such month (prepared on a consolidated basis), including balance sheet and related statements of income accompanied by a report detailing any material contingencies (including the commencement of any material litigation by or against Borrower) or any other occurrence that would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 end adjustments, and (iii) they do not contain certain non-cash items that are customarily included in quarterly and annual financial statements;</w:t>
      </w:r>
    </w:p>
    <w:p>
      <w:pPr>
        <w:sectPr>
          <w:pgSz w:w="11900" w:h="16838" w:orient="portrait"/>
          <w:cols w:equalWidth="0" w:num="1">
            <w:col w:w="11420"/>
          </w:cols>
          <w:pgMar w:left="240" w:top="125" w:right="239" w:bottom="1440" w:gutter="0" w:footer="0" w:header="0"/>
        </w:sectPr>
      </w:pPr>
    </w:p>
    <w:bookmarkStart w:id="62" w:name="page63"/>
    <w:bookmarkEnd w:id="62"/>
    <w:p>
      <w:pPr>
        <w:ind w:left="420" w:right="40" w:firstLine="881"/>
        <w:spacing w:after="0" w:line="290" w:lineRule="auto"/>
        <w:tabs>
          <w:tab w:leader="none" w:pos="1555" w:val="left"/>
        </w:tabs>
        <w:numPr>
          <w:ilvl w:val="2"/>
          <w:numId w:val="4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practicable (and in any event within 45 days) after the end of each calendar quarter, unaudited interim and year-to-date financial statements as of the end of such calendar quarter (prepared on a consolidated and, if required to be delivered by other providers of Indebtedness to Borrower, consolidating basis),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 end adjustments; as well as the most recent capitalization table for Borrower, including the weighted average exercise price of employee stock options;</w:t>
      </w:r>
    </w:p>
    <w:p>
      <w:pPr>
        <w:spacing w:after="0" w:line="37" w:lineRule="exact"/>
        <w:rPr>
          <w:rFonts w:ascii="Arial" w:cs="Arial" w:eastAsia="Arial" w:hAnsi="Arial"/>
          <w:sz w:val="16"/>
          <w:szCs w:val="16"/>
          <w:b w:val="1"/>
          <w:bCs w:val="1"/>
          <w:color w:val="auto"/>
        </w:rPr>
      </w:pPr>
    </w:p>
    <w:p>
      <w:pPr>
        <w:ind w:left="420" w:right="120" w:firstLine="881"/>
        <w:spacing w:after="0" w:line="254" w:lineRule="auto"/>
        <w:tabs>
          <w:tab w:leader="none" w:pos="1535" w:val="left"/>
        </w:tabs>
        <w:numPr>
          <w:ilvl w:val="2"/>
          <w:numId w:val="43"/>
        </w:numPr>
        <w:rPr>
          <w:rFonts w:ascii="Arial" w:cs="Arial" w:eastAsia="Arial" w:hAnsi="Arial"/>
          <w:sz w:val="18"/>
          <w:szCs w:val="18"/>
          <w:b w:val="1"/>
          <w:bCs w:val="1"/>
          <w:color w:val="auto"/>
        </w:rPr>
      </w:pPr>
      <w:r>
        <w:rPr>
          <w:rFonts w:ascii="Arial" w:cs="Arial" w:eastAsia="Arial" w:hAnsi="Arial"/>
          <w:sz w:val="18"/>
          <w:szCs w:val="18"/>
          <w:color w:val="auto"/>
        </w:rPr>
        <w:t>as soon as practicable (and in any event within 180 days) after the end of each fiscal year (beginning with the 2011 fiscal year of Parent), unqualified audited financial statements as of the end of such year (prepared on a consolidated and, if required to be delivered by other providers of Indebtedness to Borrower, consolidating basis),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Lender (it being understood that Deloitte &amp; Touch LLP is acceptable to Lender), accompanied by any management report from such accountants;</w:t>
      </w:r>
    </w:p>
    <w:p>
      <w:pPr>
        <w:spacing w:after="0" w:line="138" w:lineRule="exact"/>
        <w:rPr>
          <w:rFonts w:ascii="Arial" w:cs="Arial" w:eastAsia="Arial" w:hAnsi="Arial"/>
          <w:sz w:val="18"/>
          <w:szCs w:val="18"/>
          <w:b w:val="1"/>
          <w:bCs w:val="1"/>
          <w:color w:val="auto"/>
        </w:rPr>
      </w:pPr>
    </w:p>
    <w:p>
      <w:pPr>
        <w:ind w:left="600" w:hanging="176"/>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color w:val="auto"/>
        </w:rPr>
        <w:t>. The Borrower represents and warrants that:</w:t>
      </w:r>
    </w:p>
    <w:p>
      <w:pPr>
        <w:spacing w:after="0" w:line="177" w:lineRule="exact"/>
        <w:rPr>
          <w:rFonts w:ascii="Arial" w:cs="Arial" w:eastAsia="Arial" w:hAnsi="Arial"/>
          <w:sz w:val="18"/>
          <w:szCs w:val="18"/>
          <w:color w:val="auto"/>
        </w:rPr>
      </w:pPr>
    </w:p>
    <w:p>
      <w:pPr>
        <w:jc w:val="both"/>
        <w:ind w:left="-40" w:firstLine="921"/>
        <w:spacing w:after="0" w:line="259" w:lineRule="auto"/>
        <w:tabs>
          <w:tab w:leader="none" w:pos="1121"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immediately upon giving effect to this Amendment (i)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(ii) no Event of Default has occurred and is continuing;</w:t>
      </w:r>
    </w:p>
    <w:p>
      <w:pPr>
        <w:spacing w:after="0" w:line="140" w:lineRule="exact"/>
        <w:rPr>
          <w:rFonts w:ascii="Arial" w:cs="Arial" w:eastAsia="Arial" w:hAnsi="Arial"/>
          <w:sz w:val="18"/>
          <w:szCs w:val="18"/>
          <w:b w:val="1"/>
          <w:bCs w:val="1"/>
          <w:color w:val="auto"/>
        </w:rPr>
      </w:pPr>
    </w:p>
    <w:p>
      <w:pPr>
        <w:ind w:left="-40" w:right="540" w:firstLine="921"/>
        <w:spacing w:after="0" w:line="268" w:lineRule="auto"/>
        <w:tabs>
          <w:tab w:leader="none" w:pos="1131"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 Borrower has the corporate power and authority to execute and deliver this Amendment and to perform its obligations under the Loan Agreement, as amended by this Amendment;</w:t>
      </w:r>
    </w:p>
    <w:p>
      <w:pPr>
        <w:spacing w:after="0" w:line="131" w:lineRule="exact"/>
        <w:rPr>
          <w:rFonts w:ascii="Arial" w:cs="Arial" w:eastAsia="Arial" w:hAnsi="Arial"/>
          <w:sz w:val="18"/>
          <w:szCs w:val="18"/>
          <w:b w:val="1"/>
          <w:bCs w:val="1"/>
          <w:color w:val="auto"/>
        </w:rPr>
      </w:pPr>
    </w:p>
    <w:p>
      <w:pPr>
        <w:ind w:left="-40" w:right="120" w:firstLine="921"/>
        <w:spacing w:after="0" w:line="306" w:lineRule="auto"/>
        <w:tabs>
          <w:tab w:leader="none" w:pos="1112"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the Amended and Restated Certificate of Incorporation and the Amended and Restated Bylaws, filed by the Borrower with the Securities and Exchange Commission on March 12, 2012 as Exhibits 3.3 and 3.5, respectively, to Amendment No. 7 to Form S-1, remain true, accurate and complete and have not been amended, restated, supplemented or otherwise modified and continue to be in full force and effect;</w:t>
      </w:r>
    </w:p>
    <w:p>
      <w:pPr>
        <w:spacing w:after="0" w:line="106" w:lineRule="exact"/>
        <w:rPr>
          <w:rFonts w:ascii="Arial" w:cs="Arial" w:eastAsia="Arial" w:hAnsi="Arial"/>
          <w:sz w:val="16"/>
          <w:szCs w:val="16"/>
          <w:b w:val="1"/>
          <w:bCs w:val="1"/>
          <w:color w:val="auto"/>
        </w:rPr>
      </w:pPr>
    </w:p>
    <w:p>
      <w:pPr>
        <w:ind w:left="-40" w:right="740" w:firstLine="921"/>
        <w:spacing w:after="0" w:line="332" w:lineRule="auto"/>
        <w:tabs>
          <w:tab w:leader="none" w:pos="1131"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the execution and delivery by the Borrower of this Amendment and the performance by the Borrower of its obligations under the Loan Agreement, as amended by this Amendment, have been duly authorized by all necessary corporate action on the part of the Borrower;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80" w:right="279" w:bottom="1440" w:gutter="0" w:footer="0" w:header="0"/>
        </w:sectPr>
      </w:pPr>
    </w:p>
    <w:bookmarkStart w:id="63" w:name="page64"/>
    <w:bookmarkEnd w:id="63"/>
    <w:p>
      <w:pPr>
        <w:ind w:right="160" w:firstLine="921"/>
        <w:spacing w:after="0" w:line="306" w:lineRule="auto"/>
        <w:tabs>
          <w:tab w:leader="none" w:pos="1152"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Amendment has been duly executed and delivered by the Borrower and is the binding obligation of the Borrower, enforceable against it in accordance with its terms, except as such enforceability may be limited by bankruptcy, insolvency, reorganization, liquidation, moratorium or other similar laws of general application and equitable principles relating to or affecting creditors’ rights generally; and</w:t>
      </w:r>
    </w:p>
    <w:p>
      <w:pPr>
        <w:spacing w:after="0" w:line="106" w:lineRule="exact"/>
        <w:rPr>
          <w:rFonts w:ascii="Arial" w:cs="Arial" w:eastAsia="Arial" w:hAnsi="Arial"/>
          <w:sz w:val="16"/>
          <w:szCs w:val="16"/>
          <w:b w:val="1"/>
          <w:bCs w:val="1"/>
          <w:color w:val="auto"/>
        </w:rPr>
      </w:pPr>
    </w:p>
    <w:p>
      <w:pPr>
        <w:ind w:left="1140" w:hanging="219"/>
        <w:spacing w:after="0"/>
        <w:tabs>
          <w:tab w:leader="none" w:pos="11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as of the date hereof, the Borrower has no defenses against the obligations to pay any amounts under the Obligations.</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Borrower understands and acknowledges that the Lender is entering into this Amendment in reliance upon, and in partial consideration for, the above representations and warranties, and agrees that such reliance is reasonable and appropriate.</w:t>
      </w:r>
    </w:p>
    <w:p>
      <w:pPr>
        <w:spacing w:after="0" w:line="126" w:lineRule="exact"/>
        <w:rPr>
          <w:sz w:val="20"/>
          <w:szCs w:val="20"/>
          <w:color w:val="auto"/>
        </w:rPr>
      </w:pPr>
    </w:p>
    <w:p>
      <w:pPr>
        <w:ind w:firstLine="464"/>
        <w:spacing w:after="0" w:line="287" w:lineRule="auto"/>
        <w:tabs>
          <w:tab w:leader="none" w:pos="632"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L</w:t>
      </w:r>
      <w:r>
        <w:rPr>
          <w:rFonts w:ascii="Arial" w:cs="Arial" w:eastAsia="Arial" w:hAnsi="Arial"/>
          <w:sz w:val="13"/>
          <w:szCs w:val="13"/>
          <w:b w:val="1"/>
          <w:bCs w:val="1"/>
          <w:color w:val="auto"/>
        </w:rPr>
        <w:t>IMITATION</w:t>
      </w:r>
      <w:r>
        <w:rPr>
          <w:rFonts w:ascii="Arial" w:cs="Arial" w:eastAsia="Arial" w:hAnsi="Arial"/>
          <w:sz w:val="16"/>
          <w:szCs w:val="16"/>
          <w:color w:val="auto"/>
        </w:rPr>
        <w:t>. The amendments set forth in this Amendment shall be limited precisely as written and shall not be deemed (a) to be a waiver or</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of any other term or condition of the Loan Agreement or of any other instrument or agreement referred to therein or to prejudice any right or remedy which the Lender may now have or may have in the future under or in connection with the Loan Agreement or any instrument or agreement referred to therein; or</w:t>
      </w:r>
    </w:p>
    <w:p>
      <w:pPr>
        <w:ind w:firstLine="8"/>
        <w:spacing w:after="0" w:line="323"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 be a consent to any future amendment or modification or waiver to any instrument or agreement the execution and delivery of which is consented to hereby, or to any waiver of any of the provisions thereof. Except as expressly amended hereby, the Loan Agreement shall continue in full force and effect.</w:t>
      </w:r>
    </w:p>
    <w:p>
      <w:pPr>
        <w:spacing w:after="0" w:line="86" w:lineRule="exact"/>
        <w:rPr>
          <w:rFonts w:ascii="Arial" w:cs="Arial" w:eastAsia="Arial" w:hAnsi="Arial"/>
          <w:sz w:val="16"/>
          <w:szCs w:val="16"/>
          <w:color w:val="auto"/>
        </w:rPr>
      </w:pPr>
    </w:p>
    <w:p>
      <w:pPr>
        <w:ind w:right="440" w:firstLine="464"/>
        <w:spacing w:after="0" w:line="275" w:lineRule="auto"/>
        <w:tabs>
          <w:tab w:leader="none" w:pos="632"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FFECTIVENESS</w:t>
      </w:r>
      <w:r>
        <w:rPr>
          <w:rFonts w:ascii="Arial" w:cs="Arial" w:eastAsia="Arial" w:hAnsi="Arial"/>
          <w:sz w:val="18"/>
          <w:szCs w:val="18"/>
          <w:color w:val="auto"/>
        </w:rPr>
        <w:t>. This Amendment shall become effective upon the satisfaction of all of the following conditions precedent in form and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Lender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4.1 Amendment</w:t>
      </w:r>
      <w:r>
        <w:rPr>
          <w:rFonts w:ascii="Arial" w:cs="Arial" w:eastAsia="Arial" w:hAnsi="Arial"/>
          <w:sz w:val="18"/>
          <w:szCs w:val="18"/>
          <w:color w:val="auto"/>
        </w:rPr>
        <w:t>. The Lender shall have received duly executed counterparts of this Amendment signed by the parties hereto.</w:t>
      </w:r>
    </w:p>
    <w:p>
      <w:pPr>
        <w:spacing w:after="0" w:line="171" w:lineRule="exact"/>
        <w:rPr>
          <w:sz w:val="20"/>
          <w:szCs w:val="20"/>
          <w:color w:val="auto"/>
        </w:rPr>
      </w:pPr>
    </w:p>
    <w:p>
      <w:pPr>
        <w:ind w:right="280" w:firstLine="464"/>
        <w:spacing w:after="0" w:line="310" w:lineRule="auto"/>
        <w:tabs>
          <w:tab w:leader="none" w:pos="63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E</w:t>
      </w:r>
      <w:r>
        <w:rPr>
          <w:rFonts w:ascii="Arial" w:cs="Arial" w:eastAsia="Arial" w:hAnsi="Arial"/>
          <w:sz w:val="13"/>
          <w:szCs w:val="13"/>
          <w:b w:val="1"/>
          <w:bCs w:val="1"/>
          <w:color w:val="auto"/>
        </w:rPr>
        <w:t>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agrees to pay the Lender’s costs and expenses (including the fees and expenses of the Lender’s counsel, advisors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consultants) accrued and incurred in connection with the transactions contemplated by this Amendment, and all other Lender expenses (including the fees and expenses of Lender’s counsel, advisors and consultants) payable in accordance with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of the Loan Agreement.</w:t>
      </w:r>
    </w:p>
    <w:p>
      <w:pPr>
        <w:spacing w:after="0" w:line="97" w:lineRule="exact"/>
        <w:rPr>
          <w:rFonts w:ascii="Arial" w:cs="Arial" w:eastAsia="Arial" w:hAnsi="Arial"/>
          <w:sz w:val="16"/>
          <w:szCs w:val="16"/>
          <w:b w:val="1"/>
          <w:bCs w:val="1"/>
          <w:color w:val="auto"/>
        </w:rPr>
      </w:pPr>
    </w:p>
    <w:p>
      <w:pPr>
        <w:ind w:right="200" w:firstLine="464"/>
        <w:spacing w:after="0" w:line="262" w:lineRule="auto"/>
        <w:tabs>
          <w:tab w:leader="none" w:pos="6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OUNTERPARTS</w:t>
      </w:r>
      <w:r>
        <w:rPr>
          <w:rFonts w:ascii="Arial" w:cs="Arial" w:eastAsia="Arial" w:hAnsi="Arial"/>
          <w:sz w:val="18"/>
          <w:szCs w:val="18"/>
          <w:color w:val="auto"/>
        </w:rPr>
        <w:t>. This Amendment may be signed originally or by facsimile or other means of electronic transmission in any number of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and by different parties hereto in separate counterparts, with the same effect as if the signatures to each such counterpart were upon a single instrument. All counterparts shall be deemed an original of this Amendment.</w:t>
      </w:r>
    </w:p>
    <w:p>
      <w:pPr>
        <w:spacing w:after="0" w:line="132" w:lineRule="exact"/>
        <w:rPr>
          <w:rFonts w:ascii="Arial" w:cs="Arial" w:eastAsia="Arial" w:hAnsi="Arial"/>
          <w:sz w:val="18"/>
          <w:szCs w:val="18"/>
          <w:b w:val="1"/>
          <w:bCs w:val="1"/>
          <w:color w:val="auto"/>
        </w:rPr>
      </w:pPr>
    </w:p>
    <w:p>
      <w:pPr>
        <w:ind w:right="180" w:firstLine="464"/>
        <w:spacing w:after="0" w:line="262" w:lineRule="auto"/>
        <w:tabs>
          <w:tab w:leader="none" w:pos="6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NTEGRATION</w:t>
      </w:r>
      <w:r>
        <w:rPr>
          <w:rFonts w:ascii="Arial" w:cs="Arial" w:eastAsia="Arial" w:hAnsi="Arial"/>
          <w:sz w:val="18"/>
          <w:szCs w:val="18"/>
          <w:color w:val="auto"/>
        </w:rPr>
        <w:t>. This Amendment and any documents executed in connection herewith or pursuant hereto contain the entire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with respect to the subject matter hereof and supersede all prior agreements, understandings, offers and negotiations, oral or written, with respect thereto and no extrinsic evidence whatsoever may be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4" w:name="page65"/>
    <w:bookmarkEnd w:id="6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introduced in any judicial or arbitration proceeding, if any, involving this Amendment; except that any financing statements or other agreements or instruments filed by the Lender with respect to the Borrower shall remain in full force and effect.</w:t>
      </w:r>
    </w:p>
    <w:p>
      <w:pPr>
        <w:spacing w:after="0" w:line="126" w:lineRule="exact"/>
        <w:rPr>
          <w:sz w:val="20"/>
          <w:szCs w:val="20"/>
          <w:color w:val="auto"/>
        </w:rPr>
      </w:pPr>
    </w:p>
    <w:p>
      <w:pPr>
        <w:ind w:firstLine="464"/>
        <w:spacing w:after="0" w:line="262" w:lineRule="auto"/>
        <w:tabs>
          <w:tab w:leader="none" w:pos="63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V</w:t>
      </w:r>
      <w:r>
        <w:rPr>
          <w:rFonts w:ascii="Arial" w:cs="Arial" w:eastAsia="Arial" w:hAnsi="Arial"/>
          <w:sz w:val="14"/>
          <w:szCs w:val="14"/>
          <w:b w:val="1"/>
          <w:bCs w:val="1"/>
          <w:color w:val="auto"/>
        </w:rPr>
        <w:t>ENUE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BY AND SHALL BE CONSTRUED AND ENFORCED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STATE OF CALIFORNIA. The Borrower and the Lender each submit to the exclusive jurisdiction of the State and Federal courts in Santa Clara County, California.</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have duly authorized and caused this Amendment to be executed as of the date first written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ENPHASE ENERGY, INC.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Kumar</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Sanjeev Kumar</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HERCULES TECHNOLOGY GROWTH CAPITAL, INC.</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Nicholas Martitsch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 Nicholas Martitsch</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General Counsel</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 Amendment No. 4 to Loan and Security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246380</wp:posOffset>
            </wp:positionV>
            <wp:extent cx="1500505"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Monday, September 17,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Kris Sennesael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 Stonegate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James, NY 11780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Kris: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Enphase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employment on the following terms:</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Vice President and Chief Financial Officer and you will report to Paul Nahi, CEO. This is a full-time exempt position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Petaluma, CA. While you render services to the Company, you will not engage in any other employment, consulting or other business activity (whether full-time or part-time) that would create a conflict of interest with your duties to the Company. By signing this letter agreement, you confirm to the Company that you have no contractual commitments or other legal obligations that would prohibit you from performing your duties for the Company.</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starting salary at the rate of Three Hundred Thousand Dollars: ($300,000) per year, payable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Company’s standard payroll schedule. Your salary will be subject to adjustment pursuant to the Company’s employee compensation policies in effect from time to time. In addition to your salary, we will recommend to the Compensation Committee of the Board of Directors of the Company that you be eligible for a prorated annual 2012 bonus target of 60% of your base salary pursuant to and subject to the terms and conditions of the Enphase Energy incentive bonus plan. We will also make a recommendation to the Compensation Committee of the Board of Directors of the company that you be eligible for a target of 60% of your base salary for 2013. This recommendation will also be pursuant to and subject to the terms and conditions of the Enphase Energy incentive bonus plan. You must be employed in good standing by Enphase Energy at the scheduled payment time to be eligible to receive a bonus.</w:t>
      </w:r>
    </w:p>
    <w:p>
      <w:pPr>
        <w:spacing w:after="0" w:line="113"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Sign On Bonus. </w:t>
      </w:r>
      <w:r>
        <w:rPr>
          <w:rFonts w:ascii="Arial" w:cs="Arial" w:eastAsia="Arial" w:hAnsi="Arial"/>
          <w:sz w:val="18"/>
          <w:szCs w:val="18"/>
          <w:color w:val="auto"/>
        </w:rPr>
        <w:t>In addition to your salary, you will be eligible for a one-time bonus of One Hundred and Fifty Thousand Dollars: ($150,000) payable on your</w:t>
      </w:r>
      <w:r>
        <w:rPr>
          <w:rFonts w:ascii="Arial" w:cs="Arial" w:eastAsia="Arial" w:hAnsi="Arial"/>
          <w:sz w:val="18"/>
          <w:szCs w:val="18"/>
          <w:b w:val="1"/>
          <w:bCs w:val="1"/>
          <w:color w:val="auto"/>
        </w:rPr>
        <w:t xml:space="preserve"> </w:t>
      </w:r>
      <w:r>
        <w:rPr>
          <w:rFonts w:ascii="Arial" w:cs="Arial" w:eastAsia="Arial" w:hAnsi="Arial"/>
          <w:sz w:val="18"/>
          <w:szCs w:val="18"/>
          <w:color w:val="auto"/>
        </w:rPr>
        <w:t>first pay period, subject to applicable withholding taxes. If you voluntarily leave the Company within one year of continuous employment, you are required to return the total amount of the one-time bonus.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Relocation. </w:t>
      </w:r>
      <w:r>
        <w:rPr>
          <w:rFonts w:ascii="Arial" w:cs="Arial" w:eastAsia="Arial" w:hAnsi="Arial"/>
          <w:sz w:val="18"/>
          <w:szCs w:val="18"/>
          <w:color w:val="auto"/>
        </w:rPr>
        <w:t>It is anticipated that you will complete your relocation to Northern California by December 24, 2012.</w:t>
      </w:r>
    </w:p>
    <w:p>
      <w:pPr>
        <w:spacing w:after="0" w:line="177" w:lineRule="exact"/>
        <w:rPr>
          <w:sz w:val="20"/>
          <w:szCs w:val="20"/>
          <w:color w:val="auto"/>
        </w:rPr>
      </w:pPr>
    </w:p>
    <w:p>
      <w:pPr>
        <w:ind w:left="2800"/>
        <w:spacing w:after="0"/>
        <w:tabs>
          <w:tab w:leader="none" w:pos="746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20"/>
          </w:cols>
          <w:pgMar w:left="240" w:top="125" w:right="239" w:bottom="1440" w:gutter="0" w:footer="0" w:header="0"/>
        </w:sectPr>
      </w:pPr>
    </w:p>
    <w:bookmarkStart w:id="67" w:name="page68"/>
    <w:bookmarkEnd w:id="67"/>
    <w:p>
      <w:pPr>
        <w:ind w:right="140"/>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 xml:space="preserve">Employee Benefits. </w:t>
      </w:r>
      <w:r>
        <w:rPr>
          <w:rFonts w:ascii="Arial" w:cs="Arial" w:eastAsia="Arial" w:hAnsi="Arial"/>
          <w:sz w:val="16"/>
          <w:szCs w:val="16"/>
          <w:color w:val="auto"/>
        </w:rPr>
        <w:t>As a regular employee of the Company, you will be eligible to participate in regular health insurance, profit sharing, bonus, employee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other employee benefit plans if and as established and maintained by the Company for its employees from time to time. In addition, you will be entitled to paid vacation in accordance with the Company’s vacation policy, as in effect from time to time.</w:t>
      </w:r>
    </w:p>
    <w:p>
      <w:pPr>
        <w:spacing w:after="0" w:line="9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reimbursed for reasonable legitimate business expenses incurred in the performance of your duties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policies, as in effect from time to time.</w:t>
      </w:r>
    </w:p>
    <w:p>
      <w:pPr>
        <w:spacing w:after="0" w:line="120"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color w:val="auto"/>
        </w:rPr>
        <w:t>Stock Grant</w:t>
      </w:r>
      <w:r>
        <w:rPr>
          <w:rFonts w:ascii="Arial" w:cs="Arial" w:eastAsia="Arial" w:hAnsi="Arial"/>
          <w:sz w:val="15"/>
          <w:szCs w:val="15"/>
          <w:color w:val="auto"/>
        </w:rPr>
        <w:t>. Following execution of this letter agreement, we will recommend to the Board of Directors of the Company that you be granted the option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150,000 of Common Stock of the Company under the Company’s 2011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(as adjusted for stock splits, stock dividends, reclassifications and the like) and you will be offered 150,000 restricted stock units (RSU’s). This equates to approximately .75% of outstanding common stock as of September 1</w:t>
      </w:r>
      <w:r>
        <w:rPr>
          <w:rFonts w:ascii="Arial" w:cs="Arial" w:eastAsia="Arial" w:hAnsi="Arial"/>
          <w:sz w:val="10"/>
          <w:szCs w:val="10"/>
          <w:color w:val="auto"/>
        </w:rPr>
        <w:t>st</w:t>
      </w:r>
      <w:r>
        <w:rPr>
          <w:rFonts w:ascii="Arial" w:cs="Arial" w:eastAsia="Arial" w:hAnsi="Arial"/>
          <w:sz w:val="15"/>
          <w:szCs w:val="15"/>
          <w:color w:val="auto"/>
        </w:rPr>
        <w:t>. The option exercise price per share will be equal to the fair market value per share on the date the Board approves such grant or on your first day of employment, whichever is later. The shares will be subject to the terms and conditions applicable to shares granted under the Plan, as described in and subject to the Plan and the applicable stock option, restricted stock unit or purchase agreement. Subject to your continued employment and the terms and conditions of the Plan and applicable agreement, twenty-five percent (25%) of the option shares will vest and become exercisable twelve (12) months following your first date of employment, and the balance will vest and become exercisable in equal monthly installments over the next thirty-six (36) months of continuous service, as described in the applicable stock purchase agreement. Subject to your continued employment and the terms and conditions of the Plan and applicable agreement, twenty-five percent (25%) of the RSU’s will vest twelve (12) months following your first date of employment, and the balance will vest and become exercisable in equal quarterly installments over the next twelve (12) quarters of continuous service, as described in the applicable stock purchase agreement.</w:t>
      </w:r>
    </w:p>
    <w:p>
      <w:pPr>
        <w:spacing w:after="0" w:line="104" w:lineRule="exact"/>
        <w:rPr>
          <w:sz w:val="20"/>
          <w:szCs w:val="20"/>
          <w:color w:val="auto"/>
        </w:rPr>
      </w:pPr>
    </w:p>
    <w:p>
      <w:pPr>
        <w:ind w:right="300"/>
        <w:spacing w:after="0" w:line="378" w:lineRule="auto"/>
        <w:rPr>
          <w:sz w:val="20"/>
          <w:szCs w:val="20"/>
          <w:color w:val="auto"/>
        </w:rPr>
      </w:pPr>
      <w:r>
        <w:rPr>
          <w:rFonts w:ascii="Arial" w:cs="Arial" w:eastAsia="Arial" w:hAnsi="Arial"/>
          <w:sz w:val="15"/>
          <w:szCs w:val="15"/>
          <w:b w:val="1"/>
          <w:bCs w:val="1"/>
          <w:color w:val="auto"/>
        </w:rPr>
        <w:t>With respect to the foregoing, the grant of the opportunity to purchase or receive such shares by the Company is subject to the Board’s approval and this promise to recommend such approval is not a promise of compensation and is not intended to create any obligation on the part of the Company.</w:t>
      </w:r>
    </w:p>
    <w:p>
      <w:pPr>
        <w:spacing w:after="0" w:line="51"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Change of Control Agreement</w:t>
      </w:r>
      <w:r>
        <w:rPr>
          <w:rFonts w:ascii="Arial" w:cs="Arial" w:eastAsia="Arial" w:hAnsi="Arial"/>
          <w:sz w:val="18"/>
          <w:szCs w:val="18"/>
          <w:color w:val="auto"/>
        </w:rPr>
        <w:t>. The Company will enter into with you a Change in Control and Severance Agreement in the form 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of its non-founding executive officers.</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As an employee of the Company, you will have access to certain confidential information of the Company and you may, during the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employment, develop certain information or inventions that will be the property of the Company. To protect the interests of the Company, you will need to sign the Company’s standard “Employee Invention Assignment and Confidentiality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a condition of your employment. We wish to impress upon you that we do not want you to, and we hereby direct you not to, bring with you any confidential or proprietary material of any former employer or to</w:t>
      </w:r>
    </w:p>
    <w:p>
      <w:pPr>
        <w:spacing w:after="0" w:line="131"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20"/>
          </w:cols>
          <w:pgMar w:left="240" w:top="1273" w:right="239" w:bottom="1440" w:gutter="0" w:footer="0" w:header="0"/>
        </w:sectPr>
      </w:pPr>
    </w:p>
    <w:bookmarkStart w:id="68" w:name="page69"/>
    <w:bookmarkEnd w:id="68"/>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 You represent that your signing of this offer letter, agreement(s) concerning stock granted to you, if any, under the Plan and the Company’s Employee Invention Assignment and Confidentiality Agreement and your commencement of employment with the Company will not violate any agreement currently in place between you and current or past employers.</w:t>
      </w:r>
    </w:p>
    <w:p>
      <w:pPr>
        <w:spacing w:after="0" w:line="11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Employment with the Company is for no specific period of time. Your employment with the Company will be “at will,” meaning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forms of compensation referred to in this letter agreement are subject to reduction to reflect applicable withholding and payroll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deductions required by law.</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complete agreement between you and the Company,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Arial" w:cs="Arial" w:eastAsia="Arial" w:hAnsi="Arial"/>
          <w:sz w:val="16"/>
          <w:szCs w:val="16"/>
          <w:b w:val="1"/>
          <w:bCs w:val="1"/>
          <w:i w:val="1"/>
          <w:iCs w:val="1"/>
          <w:color w:val="auto"/>
        </w:rPr>
        <w:t>Disputes</w:t>
      </w:r>
      <w:r>
        <w:rPr>
          <w:rFonts w:ascii="Arial" w:cs="Arial" w:eastAsia="Arial" w:hAnsi="Arial"/>
          <w:sz w:val="16"/>
          <w:szCs w:val="16"/>
          <w:color w:val="auto"/>
        </w:rPr>
        <w:t>”) will be governed by California law, excluding laws relating to conflicts or choice of law. You and the Company submit to the exclusive personal jurisdiction of the federal and state courts located in San Francisco and Sonoma County in connection with any Dispute or any claim related to any Dispute.</w:t>
      </w:r>
    </w:p>
    <w:p>
      <w:pPr>
        <w:spacing w:after="0" w:line="10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20"/>
          </w:cols>
          <w:pgMar w:left="240" w:top="1279" w:right="23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 * * * *</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hope that you will accept our offer to join the Company on the terms of this letter.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Friday, September 21, 2012. As required by law, your employment with the Company is contingent upon your providing legal proof of your identity and authorization to work in the United States. Your employment is also contingent upon successful completion of the background verification process and your starting work with the Company on or before Monday, September 24, 2012.</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NPHASE</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jc w:val="both"/>
        <w:ind w:left="6860"/>
        <w:spacing w:after="0"/>
        <w:tabs>
          <w:tab w:leader="none" w:pos="7340" w:val="left"/>
        </w:tabs>
        <w:rPr>
          <w:sz w:val="20"/>
          <w:szCs w:val="20"/>
          <w:color w:val="auto"/>
        </w:rPr>
      </w:pPr>
      <w:r>
        <w:rPr>
          <w:rFonts w:ascii="Arial" w:cs="Arial" w:eastAsia="Arial" w:hAnsi="Arial"/>
          <w:sz w:val="18"/>
          <w:szCs w:val="18"/>
          <w:color w:val="auto"/>
        </w:rPr>
        <w:t>By:</w:t>
        <w:tab/>
        <w:t>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jc w:val="right"/>
        <w:ind w:right="3080"/>
        <w:spacing w:after="0"/>
        <w:rPr>
          <w:sz w:val="20"/>
          <w:szCs w:val="20"/>
          <w:color w:val="auto"/>
        </w:rPr>
      </w:pPr>
      <w:r>
        <w:rPr>
          <w:rFonts w:ascii="Arial" w:cs="Arial" w:eastAsia="Arial" w:hAnsi="Arial"/>
          <w:sz w:val="18"/>
          <w:szCs w:val="18"/>
          <w:color w:val="auto"/>
        </w:rPr>
        <w:t>Paul B. Nahi</w:t>
      </w:r>
    </w:p>
    <w:p>
      <w:pPr>
        <w:spacing w:after="0" w:line="117"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CEO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Kris Sennesael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5575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A: Employee Invention Assignment and Confidentiality Agreement</w:t>
      </w:r>
    </w:p>
    <w:p>
      <w:pPr>
        <w:spacing w:after="0" w:line="158"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360"/>
          </w:cols>
          <w:pgMar w:left="240" w:top="1279" w:right="29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consideration of, and as a condition of my employment with Enphase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hereby represent to, and agree with the Company as follows: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 production and marketing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business and that it is critical for the Company to preserve and protect its Proprietary Information (as defined in Section 7 below), its rights in Inventions (as defined in Section 2 below) and in all related intellectual property rights. Accordingly, I am entering into this Employee Invention Assignment and Confidentiality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a condition of my employment with the Company, whether or not I am expected to create inventions of value for the Company.</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formulas, processes, compositions of matter, computer software programs, databases, mask works, designs and trade secrets that I make or conceive or first reduce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3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I have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a list describing with particularity all inventions, original works of authorship,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 were made by me prior to the commencement of my employment with the Company (collectively referred to as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which belong solely to me or belong to me jointly with another, which relate in any way to any of the Company’s proposed businesses, products or research and development, and which are not assigned to the Company hereunder; or, if no such list is attached, I represent that there are no such Prior Inventions. 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(with the right to sublicense) to make, have made, copy, modify, make derivative works of, use, sell and otherwise distribute such Prior Invention as part of or in connection with such product, process or machine.</w:t>
      </w:r>
    </w:p>
    <w:p>
      <w:pPr>
        <w:spacing w:after="0" w:line="11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u w:val="single" w:color="auto"/>
          <w:color w:val="auto"/>
        </w:rPr>
        <w:t>Work for Hire; Assignment of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I acknowledge and agree that any copyrightable works prepared by me within the scope of my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w:t>
      </w:r>
    </w:p>
    <w:p>
      <w:pPr>
        <w:spacing w:after="0" w:line="1" w:lineRule="exact"/>
        <w:rPr>
          <w:sz w:val="20"/>
          <w:szCs w:val="20"/>
          <w:color w:val="auto"/>
        </w:rPr>
      </w:pPr>
    </w:p>
    <w:p>
      <w:pPr>
        <w:ind w:right="140" w:firstLine="8"/>
        <w:spacing w:after="0" w:line="261" w:lineRule="auto"/>
        <w:tabs>
          <w:tab w:leader="none" w:pos="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relate to the Company’s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r>
        <w:rPr>
          <w:rFonts w:ascii="Arial" w:cs="Arial" w:eastAsia="Arial" w:hAnsi="Arial"/>
          <w:sz w:val="18"/>
          <w:szCs w:val="18"/>
          <w:b w:val="1"/>
          <w:bCs w:val="1"/>
          <w:color w:val="auto"/>
        </w:rPr>
        <w:t>.</w:t>
      </w:r>
    </w:p>
    <w:p>
      <w:pPr>
        <w:spacing w:after="0" w:line="124"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20"/>
          </w:cols>
          <w:pgMar w:left="240" w:top="1273"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Labor Code Section 2870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 have been notified and understand that the provisions of Sections 3 and 5 of this Agreement do not apply to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Assigned Invention that qualifies fully under the provisions of Section 2870 of the California Labor Code, which states as follows: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u w:val="single" w:color="auto"/>
          <w:color w:val="auto"/>
        </w:rPr>
        <w:t>Assignment of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foregoing assignment of Assigned Inventions to the Company, I hereby irrevocably transfer and assign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Moral Rights</w:t>
      </w:r>
      <w:r>
        <w:rPr>
          <w:rFonts w:ascii="Arial" w:cs="Arial" w:eastAsia="Arial" w:hAnsi="Arial"/>
          <w:sz w:val="16"/>
          <w:szCs w:val="16"/>
          <w:b w:val="1"/>
          <w:bCs w:val="1"/>
          <w:color w:val="auto"/>
        </w:rPr>
        <w:t>”</w:t>
      </w:r>
      <w:r>
        <w:rPr>
          <w:rFonts w:ascii="Arial" w:cs="Arial" w:eastAsia="Arial" w:hAnsi="Arial"/>
          <w:sz w:val="16"/>
          <w:szCs w:val="16"/>
          <w:color w:val="auto"/>
        </w:rPr>
        <w:t xml:space="preserve">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1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I agree to assist the Company in every proper way to obtain for the Company and enforce patents, copyrights, mask work rights, trade secret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03"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360"/>
          </w:cols>
          <w:pgMar w:left="240" w:top="1273" w:right="299" w:bottom="1440" w:gutter="0" w:footer="0" w:header="0"/>
        </w:sectPr>
      </w:pPr>
    </w:p>
    <w:bookmarkStart w:id="72" w:name="page73"/>
    <w:bookmarkEnd w:id="72"/>
    <w:p>
      <w:pPr>
        <w:ind w:firstLine="456"/>
        <w:spacing w:after="0" w:line="296"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confidential or secret nature that may be disclosed to me by the Company or a third party that relates to the business of the Company or to the business of any parent, subsidiary, affiliate, customer or supplier of the Company or any other party with whom the Company agrees to hold information of such party in confidence (the “</w:t>
      </w:r>
      <w:r>
        <w:rPr>
          <w:rFonts w:ascii="Arial" w:cs="Arial" w:eastAsia="Arial" w:hAnsi="Arial"/>
          <w:sz w:val="16"/>
          <w:szCs w:val="16"/>
          <w:b w:val="1"/>
          <w:bCs w:val="1"/>
          <w:i w:val="1"/>
          <w:iCs w:val="1"/>
          <w:color w:val="auto"/>
        </w:rPr>
        <w:t>Proprietary Information</w:t>
      </w:r>
      <w:r>
        <w:rPr>
          <w:rFonts w:ascii="Arial" w:cs="Arial" w:eastAsia="Arial" w:hAnsi="Arial"/>
          <w:sz w:val="16"/>
          <w:szCs w:val="16"/>
          <w:color w:val="auto"/>
        </w:rPr>
        <w:t>”). Such Proprietary Information includes, but is not limited to, Assigned Inventions, marketing plans, product plans, business strategies, financial information, forecasts, personnel information, customer lists and data, and domain names.</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I will keep and hold all such Proprietary Information in 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and trust. I will not use or disclose any Proprietary Information without the prior written consent of the Company,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upon Company request, will execute a document confirming my agreement to honor my responsibilities contained in this Agreement. I will not take with me or retain any documents or materials or copies thereof containing any Proprietary Information.</w:t>
      </w:r>
    </w:p>
    <w:p>
      <w:pPr>
        <w:spacing w:after="0" w:line="13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u w:val="single" w:color="auto"/>
          <w:color w:val="auto"/>
        </w:rPr>
        <w:t>No Breach of Prior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 represent that my performance of all the terms of this Agreement and my duties as an employee of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spacing w:after="0" w:line="103"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b w:val="1"/>
          <w:bCs w:val="1"/>
          <w:u w:val="single" w:color="auto"/>
          <w:color w:val="auto"/>
        </w:rPr>
        <w:t>Efforts; Duty Not to Compete</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with the Company requires my undivided attention and effort during normal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hours. While I am employed by the Company, I will not, without the Company’s express prior written consent, provide services to, or assist in any manner, any business or third party if such services or assistance would be in direct conflict with the Company’s business interests.</w:t>
      </w:r>
    </w:p>
    <w:p>
      <w:pPr>
        <w:spacing w:after="0" w:line="97"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notify third parties, including, without limitation, customers and actual or potential employers,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my responsibilities hereunder.</w:t>
      </w:r>
    </w:p>
    <w:p>
      <w:pPr>
        <w:spacing w:after="0" w:line="120"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b w:val="1"/>
          <w:bCs w:val="1"/>
          <w:u w:val="single" w:color="auto"/>
          <w:color w:val="auto"/>
        </w:rPr>
        <w:t>Non-Solicitation of Employees/Consultants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for a period of one (1) year thereafter,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away employees or consultants of the Company for my own benefit or for the benefit of any other person or entity.</w:t>
      </w:r>
    </w:p>
    <w:p>
      <w:pPr>
        <w:spacing w:after="0" w:line="67"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00"/>
          </w:cols>
          <w:pgMar w:left="240" w:top="1273" w:right="259" w:bottom="1440" w:gutter="0" w:footer="0" w:header="0"/>
        </w:sectPr>
      </w:pPr>
    </w:p>
    <w:bookmarkStart w:id="73" w:name="page74"/>
    <w:bookmarkEnd w:id="73"/>
    <w:p>
      <w:pPr>
        <w:jc w:val="both"/>
        <w:ind w:right="340" w:firstLine="456"/>
        <w:spacing w:after="0" w:line="310"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Non-Solicitation of Suppliers/Customers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after termination of my employment,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or take away suppliers or customers of the Company if the identity of the supplier or customer or information about the supplier or customer relationship is a trade secret or is otherwise deemed confidential information within the meaning of California law.</w:t>
      </w:r>
    </w:p>
    <w:p>
      <w:pPr>
        <w:spacing w:after="0" w:line="97"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b w:val="1"/>
          <w:bCs w:val="1"/>
          <w:u w:val="single" w:color="auto"/>
          <w:color w:val="auto"/>
        </w:rPr>
        <w:t>Name and Likeness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authorize the Company to use, reuse, and to grant others the right to use and reuse, my name, photograph, likeness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spacing w:after="0" w:line="10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 harm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therefore be entitled to injunctive relief to enforce this Agreement.</w:t>
      </w:r>
    </w:p>
    <w:p>
      <w:pPr>
        <w:spacing w:after="0" w:line="12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governed by and construed in accordance with the laws of the State of California,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0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together shall constitute one and the same agreement.</w:t>
      </w:r>
    </w:p>
    <w:p>
      <w:pPr>
        <w:spacing w:after="0" w:line="120"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of this Agreement, and supersede all prior understandings and agreements, whether oral or written, between or among the parties hereto with respect to the specific subject matter hereof.</w:t>
      </w:r>
    </w:p>
    <w:p>
      <w:pPr>
        <w:spacing w:after="0" w:line="13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each of the parties hereto. No amendment of or</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03"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400"/>
          </w:cols>
          <w:pgMar w:left="240" w:top="1273" w:right="259" w:bottom="1440" w:gutter="0" w:footer="0" w:header="0"/>
        </w:sectPr>
      </w:pPr>
    </w:p>
    <w:bookmarkStart w:id="74" w:name="page75"/>
    <w:bookmarkEnd w:id="74"/>
    <w:p>
      <w:pPr>
        <w:ind w:right="60" w:firstLine="456"/>
        <w:spacing w:after="0" w:line="301"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Successors and Assigns;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 Agreement, this Agreement, and the rights and obligations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0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carry out the purposes and intent of this Agreement.</w:t>
      </w:r>
    </w:p>
    <w:p>
      <w:pPr>
        <w:spacing w:after="0" w:line="12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u w:val="single" w:color="auto"/>
          <w:color w:val="auto"/>
        </w:rPr>
        <w:t>“At Will”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this Agreement does not constitute a contract of employment or obligate the Company to employ me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 This Agreement shall be effective as of the first day of my employment by the Company, which is Monday, September 24, 2012.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1000" w:type="dxa"/>
            <w:vAlign w:val="bottom"/>
            <w:gridSpan w:val="4"/>
          </w:tcPr>
          <w:p>
            <w:pPr>
              <w:jc w:val="center"/>
              <w:ind w:right="332"/>
              <w:spacing w:after="0"/>
              <w:rPr>
                <w:sz w:val="20"/>
                <w:szCs w:val="20"/>
                <w:color w:val="auto"/>
              </w:rPr>
            </w:pPr>
            <w:r>
              <w:rPr>
                <w:rFonts w:ascii="Arial" w:cs="Arial" w:eastAsia="Arial" w:hAnsi="Arial"/>
                <w:sz w:val="18"/>
                <w:szCs w:val="18"/>
                <w:color w:val="auto"/>
              </w:rPr>
              <w:t>* * * * * *</w:t>
            </w:r>
          </w:p>
        </w:tc>
      </w:tr>
      <w:tr>
        <w:trPr>
          <w:trHeight w:val="378"/>
        </w:trPr>
        <w:tc>
          <w:tcPr>
            <w:tcW w:w="420" w:type="dxa"/>
            <w:vAlign w:val="bottom"/>
          </w:tcPr>
          <w:p>
            <w:pPr>
              <w:spacing w:after="0"/>
              <w:rPr>
                <w:sz w:val="24"/>
                <w:szCs w:val="24"/>
                <w:color w:val="auto"/>
              </w:rPr>
            </w:pPr>
          </w:p>
        </w:tc>
        <w:tc>
          <w:tcPr>
            <w:tcW w:w="11000" w:type="dxa"/>
            <w:vAlign w:val="bottom"/>
            <w:gridSpan w:val="4"/>
          </w:tcPr>
          <w:p>
            <w:pPr>
              <w:ind w:left="40"/>
              <w:spacing w:after="0"/>
              <w:rPr>
                <w:sz w:val="20"/>
                <w:szCs w:val="20"/>
                <w:color w:val="auto"/>
              </w:rPr>
            </w:pPr>
            <w:r>
              <w:rPr>
                <w:rFonts w:ascii="Arial" w:cs="Arial" w:eastAsia="Arial" w:hAnsi="Arial"/>
                <w:sz w:val="18"/>
                <w:szCs w:val="18"/>
                <w:color w:val="auto"/>
              </w:rPr>
              <w:t>In Witness Whereof, the parties have executed this Agreement as of the September 24, 2012.</w:t>
            </w:r>
          </w:p>
        </w:tc>
      </w:tr>
      <w:tr>
        <w:trPr>
          <w:trHeight w:val="419"/>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Enphase Energy, Inc.:</w:t>
            </w:r>
          </w:p>
        </w:tc>
        <w:tc>
          <w:tcPr>
            <w:tcW w:w="1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 Nahi</w:t>
            </w:r>
          </w:p>
        </w:tc>
        <w:tc>
          <w:tcPr>
            <w:tcW w:w="1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330"/>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Signature</w:t>
            </w:r>
          </w:p>
        </w:tc>
      </w:tr>
      <w:tr>
        <w:trPr>
          <w:trHeight w:val="433"/>
        </w:trPr>
        <w:tc>
          <w:tcPr>
            <w:tcW w:w="5960" w:type="dxa"/>
            <w:vAlign w:val="bottom"/>
            <w:gridSpan w:val="3"/>
          </w:tcPr>
          <w:p>
            <w:pPr>
              <w:spacing w:after="0"/>
              <w:rPr>
                <w:sz w:val="20"/>
                <w:szCs w:val="20"/>
                <w:color w:val="auto"/>
              </w:rPr>
            </w:pPr>
            <w:r>
              <w:rPr>
                <w:rFonts w:ascii="Arial" w:cs="Arial" w:eastAsia="Arial" w:hAnsi="Arial"/>
                <w:sz w:val="18"/>
                <w:szCs w:val="18"/>
                <w:color w:val="auto"/>
              </w:rPr>
              <w:t>Name: Paul B. Nahi</w:t>
            </w:r>
          </w:p>
        </w:tc>
        <w:tc>
          <w:tcPr>
            <w:tcW w:w="1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Kris Sennesael</w:t>
            </w:r>
          </w:p>
        </w:tc>
      </w:tr>
      <w:tr>
        <w:trPr>
          <w:trHeight w:val="439"/>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24"/>
                <w:szCs w:val="24"/>
                <w:color w:val="auto"/>
              </w:rPr>
            </w:pPr>
          </w:p>
        </w:tc>
        <w:tc>
          <w:tcPr>
            <w:tcW w:w="5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00" w:type="dxa"/>
            <w:vAlign w:val="bottom"/>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r>
      <w:tr>
        <w:trPr>
          <w:trHeight w:val="384"/>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40" w:type="dxa"/>
            <w:vAlign w:val="bottom"/>
            <w:gridSpan w:val="3"/>
          </w:tcPr>
          <w:p>
            <w:pPr>
              <w:jc w:val="center"/>
              <w:ind w:right="492"/>
              <w:spacing w:after="0"/>
              <w:rPr>
                <w:sz w:val="20"/>
                <w:szCs w:val="20"/>
                <w:color w:val="auto"/>
              </w:rPr>
            </w:pPr>
            <w:r>
              <w:rPr>
                <w:rFonts w:ascii="Arial" w:cs="Arial" w:eastAsia="Arial" w:hAnsi="Arial"/>
                <w:sz w:val="18"/>
                <w:szCs w:val="18"/>
                <w:color w:val="auto"/>
                <w:w w:val="89"/>
              </w:rPr>
              <w:t>Signature Page to Employee Invention Assignment and Confidentiality Agreement</w:t>
            </w:r>
          </w:p>
        </w:tc>
      </w:tr>
      <w:tr>
        <w:trPr>
          <w:trHeight w:val="358"/>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tcPr>
          <w:p>
            <w:pPr>
              <w:ind w:left="2220"/>
              <w:spacing w:after="0"/>
              <w:rPr>
                <w:sz w:val="20"/>
                <w:szCs w:val="20"/>
                <w:color w:val="auto"/>
              </w:rPr>
            </w:pPr>
            <w:r>
              <w:rPr>
                <w:rFonts w:ascii="Arial" w:cs="Arial" w:eastAsia="Arial" w:hAnsi="Arial"/>
                <w:sz w:val="18"/>
                <w:szCs w:val="18"/>
                <w:color w:val="auto"/>
                <w:w w:val="90"/>
              </w:rPr>
              <w:t>1420 North McDowell, Petaluma, CA 94954</w:t>
            </w:r>
          </w:p>
        </w:tc>
        <w:tc>
          <w:tcPr>
            <w:tcW w:w="10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p.(707)763-4784   f.(707)763-0784</w:t>
            </w:r>
          </w:p>
        </w:tc>
      </w:tr>
      <w:tr>
        <w:trPr>
          <w:trHeight w:val="222"/>
        </w:trPr>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40" w:type="dxa"/>
            <w:vAlign w:val="bottom"/>
            <w:gridSpan w:val="3"/>
          </w:tcPr>
          <w:p>
            <w:pPr>
              <w:jc w:val="center"/>
              <w:ind w:right="492"/>
              <w:spacing w:after="0"/>
              <w:rPr>
                <w:sz w:val="20"/>
                <w:szCs w:val="20"/>
                <w:color w:val="auto"/>
              </w:rPr>
            </w:pPr>
            <w:r>
              <w:rPr>
                <w:rFonts w:ascii="Arial" w:cs="Arial" w:eastAsia="Arial" w:hAnsi="Arial"/>
                <w:sz w:val="18"/>
                <w:szCs w:val="18"/>
                <w:color w:val="auto"/>
                <w:w w:val="85"/>
              </w:rPr>
              <w:t>www.enphaseenergy.com</w:t>
            </w:r>
          </w:p>
        </w:tc>
      </w:tr>
    </w:tbl>
    <w:p>
      <w:pPr>
        <w:sectPr>
          <w:pgSz w:w="11900" w:h="16838" w:orient="portrait"/>
          <w:cols w:equalWidth="0" w:num="1">
            <w:col w:w="11420"/>
          </w:cols>
          <w:pgMar w:left="240" w:top="1273" w:right="239" w:bottom="1440" w:gutter="0" w:footer="0" w:header="0"/>
        </w:sectPr>
      </w:pPr>
    </w:p>
    <w:bookmarkStart w:id="75" w:name="page76"/>
    <w:bookmarkEnd w:id="75"/>
    <w:p>
      <w:pPr>
        <w:ind w:left="52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EXHIBIT A</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LIST OF PRIOR INVENTIONS</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AND ORIGINAL WORKS OF AUTHORSHIP</w:t>
      </w:r>
    </w:p>
    <w:p>
      <w:pPr>
        <w:spacing w:after="0" w:line="19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w w:val="93"/>
              </w:rPr>
              <w:t>Identifying Number</w:t>
            </w:r>
          </w:p>
        </w:tc>
      </w:tr>
      <w:tr>
        <w:trPr>
          <w:trHeight w:val="166"/>
        </w:trPr>
        <w:tc>
          <w:tcPr>
            <w:tcW w:w="2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0"/>
              </w:rPr>
              <w:t>Title</w:t>
            </w:r>
          </w:p>
        </w:tc>
        <w:tc>
          <w:tcPr>
            <w:tcW w:w="3620" w:type="dxa"/>
            <w:vAlign w:val="bottom"/>
          </w:tcPr>
          <w:p>
            <w:pPr>
              <w:spacing w:after="0"/>
              <w:rPr>
                <w:sz w:val="14"/>
                <w:szCs w:val="14"/>
                <w:color w:val="auto"/>
              </w:rPr>
            </w:pPr>
          </w:p>
        </w:tc>
        <w:tc>
          <w:tcPr>
            <w:tcW w:w="2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1"/>
              </w:rPr>
              <w:t>Date</w:t>
            </w:r>
          </w:p>
        </w:tc>
        <w:tc>
          <w:tcPr>
            <w:tcW w:w="3040" w:type="dxa"/>
            <w:vAlign w:val="bottom"/>
          </w:tcPr>
          <w:p>
            <w:pPr>
              <w:spacing w:after="0"/>
              <w:rPr>
                <w:sz w:val="14"/>
                <w:szCs w:val="14"/>
                <w:color w:val="auto"/>
              </w:rPr>
            </w:pPr>
          </w:p>
        </w:tc>
        <w:tc>
          <w:tcPr>
            <w:tcW w:w="11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92"/>
              </w:rPr>
              <w:t>or Brief Description</w:t>
            </w:r>
          </w:p>
        </w:tc>
      </w:tr>
    </w:tbl>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inventions or improvements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Sheets Attached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-13970</wp:posOffset>
            </wp:positionV>
            <wp:extent cx="1699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 Kris Sennesael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1220"/>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0219"/>
          </w:cols>
          <w:pgMar w:left="240" w:top="1279" w:right="1440"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5903595</wp:posOffset>
            </wp:positionH>
            <wp:positionV relativeFrom="page">
              <wp:posOffset>311785</wp:posOffset>
            </wp:positionV>
            <wp:extent cx="1500505"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11480"/>
                    </a:xfrm>
                    <a:prstGeom prst="rect">
                      <a:avLst/>
                    </a:prstGeom>
                    <a:noFill/>
                  </pic:spPr>
                </pic:pic>
              </a:graphicData>
            </a:graphic>
          </wp:anchor>
        </w:drawing>
        <w:t>EXHIBIT B</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Termination Certification</w:t>
      </w:r>
    </w:p>
    <w:p>
      <w:pPr>
        <w:spacing w:after="0" w:line="16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This is to certify that I do not have in my possession, nor have I failed to return, any devices, records, data, notes, reports, proposals, lists, correspondence, specifications, drawings, blueprints, sketches, materials, equipment, other documents or property, or reproductions of any aforementioned items belonging to Enphase Energy, Inc., its subsidiaries, affiliates, successors or assigns (together, the “Company”).</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 further certify that I have complied with all the terms of my employment and the Company’s Employee Invention Assignment and Confidentiality Agreement signed by me, including the recording of any inventions, original works of authorship, or other Intellectual Property (as defined therein), conceived or made by me (solely or jointly with others) covered by that agreement.</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 further agree that, in compliance with the Employee Invention Assignment and Confidentiality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 further agree that, in compliance with the Employee Invention Assignment and Confidentiality Agreement, I will abide by the Covenants Not To Solicit (as set forth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-13970</wp:posOffset>
            </wp:positionV>
            <wp:extent cx="18116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 Kris Sennesael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ind w:right="-59"/>
        <w:spacing w:after="0"/>
        <w:tabs>
          <w:tab w:leader="none" w:pos="200" w:val="left"/>
        </w:tabs>
        <w:rPr>
          <w:sz w:val="20"/>
          <w:szCs w:val="20"/>
          <w:color w:val="auto"/>
        </w:rPr>
      </w:pPr>
      <w:r>
        <w:rPr>
          <w:rFonts w:ascii="Arial" w:cs="Arial" w:eastAsia="Arial" w:hAnsi="Arial"/>
          <w:sz w:val="18"/>
          <w:szCs w:val="18"/>
          <w:color w:val="auto"/>
        </w:rPr>
        <w:t>1420 North McDowell, Petaluma, CA 94954  p.(707)763-4784</w:t>
      </w:r>
      <w:r>
        <w:rPr>
          <w:sz w:val="20"/>
          <w:szCs w:val="20"/>
          <w:color w:val="auto"/>
        </w:rPr>
        <w:tab/>
      </w:r>
      <w:r>
        <w:rPr>
          <w:rFonts w:ascii="Arial" w:cs="Arial" w:eastAsia="Arial" w:hAnsi="Arial"/>
          <w:sz w:val="16"/>
          <w:szCs w:val="16"/>
          <w:color w:val="auto"/>
        </w:rPr>
        <w:t>f.(707)763-0784</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www.enphaseenergy.com</w:t>
      </w:r>
    </w:p>
    <w:p>
      <w:pPr>
        <w:sectPr>
          <w:pgSz w:w="11900" w:h="16838" w:orient="portrait"/>
          <w:cols w:equalWidth="0" w:num="1">
            <w:col w:w="11380"/>
          </w:cols>
          <w:pgMar w:left="240" w:top="1273" w:right="27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10.44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Tuesday, July 31,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Stephen Lapointe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 Creekside Village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Gatos, California 95032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Stephen: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Enphase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employment on the following terms:</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Vice President of Global Human Resources and you will report to Paul Nahi. This is a full-time exempt position and is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Petaluma, CA. While you render services to the Company, you will not engage in any other employment, consulting or other business activity (whether full-time or part-time) that would create a conflict of interest with your duties to the Company. By signing this letter agreement, you confirm to the Company that you have no contractual commitments or other legal obligations that would prohibit you from performing your duties for the Company.</w:t>
      </w:r>
    </w:p>
    <w:p>
      <w:pPr>
        <w:spacing w:after="0" w:line="1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Two Hundred Thousand Dollars: ($200,000) per year, payable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standard payroll schedule. Your salary will be subject to adjustment pursuant to the Company’s employee compensation policies in effect from time to time. In addition to your salary, you will be eligible for a one-time bonus of Ten Thousand Dollars: ($10,000) payable on your first pay period, subject to applicable withholding taxes. If you voluntarily leave the Company within one year of continuous employment, you are required to return the total amount of the one-time bonus.</w:t>
      </w:r>
    </w:p>
    <w:p>
      <w:pPr>
        <w:spacing w:after="0" w:line="13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 xml:space="preserve">Employee Benefits. </w:t>
      </w:r>
      <w:r>
        <w:rPr>
          <w:rFonts w:ascii="Arial" w:cs="Arial" w:eastAsia="Arial" w:hAnsi="Arial"/>
          <w:sz w:val="16"/>
          <w:szCs w:val="16"/>
          <w:color w:val="auto"/>
        </w:rPr>
        <w:t>As a regular employee of the Company, you will be eligible to participate in regular health insurance, profit sharing, bonus, employee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other employee benefit plans if and as established and maintained by the Company for its employees from time to time. In addition, you will be entitled to paid vacation in accordance with the Company’s vacation policy, as in effect from time to time.</w:t>
      </w:r>
    </w:p>
    <w:p>
      <w:pPr>
        <w:spacing w:after="0" w:line="9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reimbursed for reasonable legitimate business expenses incurred in the performance of your duties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policies, as in effect from time to time.</w:t>
      </w:r>
    </w:p>
    <w:p>
      <w:pPr>
        <w:spacing w:after="0" w:line="112"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1 of 15</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reimbursed for reasonable legitimate business expenses incurred in the performance of your duties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policies, as in effect from time to time.</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Stock Grant</w:t>
      </w:r>
      <w:r>
        <w:rPr>
          <w:rFonts w:ascii="Arial" w:cs="Arial" w:eastAsia="Arial" w:hAnsi="Arial"/>
          <w:sz w:val="16"/>
          <w:szCs w:val="16"/>
          <w:color w:val="auto"/>
        </w:rPr>
        <w:t>. Following execution of this letter agreement, we will recommend to the Board of Directors of the Company that you be granted the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up to (75,000) shares of Common Stock of the Company under the Company’s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(as adjusted for stock splits, stock dividends, reclassifications and the like). The exercise price per share will be equal to the fair market value per share on the date the Board approves such grant or on your first day of employment, whichever is later. The shares will be subject to the terms and conditions applicable to shares granted under the Plan, as described in and subject to the Plan and the applicable stock option or purchase agreement. Subject to your continued employment and the terms and conditions of the Plan and applicable agreement, twenty-five percent (25%) of the shares will vest and become exercisable twelve (12) months following your first date of employment, and the balance will vest and become exercisable in equal monthly installments over the next thirty-six (36) months of continuous service, as described in the applicable stock purchase agreement.</w:t>
      </w:r>
    </w:p>
    <w:p>
      <w:pPr>
        <w:spacing w:after="0" w:line="112"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With respect to the foregoing, the grant of the opportunity to purchase such shares by the Company is subject to the Board’s approval and this promise to recommend such approval is not a promise of compensation and is not intended to create any obligation on the part of the Company.</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As an employee of the Company, you will have access to certain confidential information of the Company and you may, during the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employment, develop certain information or inventions that will be the property of the Company. To protect the interests of the Company, you will need to sign the Company’s standard “Employee Invention Assignment and Confidentiality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 You represent that your signing of this offer letter, agreement(s) concerning stock granted to you, if any, under the Plan and the Company’s Employee Invention Assignment and Confidentiality Agreement and your commencement of employment with the Company will not violate any agreement currently in place between yourself and current or past employers.</w:t>
      </w:r>
    </w:p>
    <w:p>
      <w:pPr>
        <w:spacing w:after="0" w:line="111"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2 of 15</w:t>
      </w:r>
    </w:p>
    <w:p>
      <w:pPr>
        <w:sectPr>
          <w:pgSz w:w="11900" w:h="16838" w:orient="portrait"/>
          <w:cols w:equalWidth="0" w:num="1">
            <w:col w:w="11420"/>
          </w:cols>
          <w:pgMar w:left="240" w:top="2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Employment with the Company is for no specific period of time. Your employment with the Company will be “at will,” meaning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forms of compensation referred to in this letter agreement are subject to reduction to reflect applicable withholding and payroll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deductions required by law.</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complete agreement between you and the Company,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Arial" w:cs="Arial" w:eastAsia="Arial" w:hAnsi="Arial"/>
          <w:sz w:val="16"/>
          <w:szCs w:val="16"/>
          <w:b w:val="1"/>
          <w:bCs w:val="1"/>
          <w:i w:val="1"/>
          <w:iCs w:val="1"/>
          <w:color w:val="auto"/>
        </w:rPr>
        <w:t>Disputes</w:t>
      </w:r>
      <w:r>
        <w:rPr>
          <w:rFonts w:ascii="Arial" w:cs="Arial" w:eastAsia="Arial" w:hAnsi="Arial"/>
          <w:sz w:val="16"/>
          <w:szCs w:val="16"/>
          <w:color w:val="auto"/>
        </w:rPr>
        <w:t>”) will be governed by California law, excluding laws relating to conflicts or choice of law. You and the Company submit to the exclusive personal jurisdiction of the federal and state courts located in San Francisco and Sonoma County in connection with any Dispute or any claim related to any Dispute.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3 of 15</w:t>
      </w:r>
    </w:p>
    <w:p>
      <w:pPr>
        <w:sectPr>
          <w:pgSz w:w="11900" w:h="16838" w:orient="portrait"/>
          <w:cols w:equalWidth="0" w:num="1">
            <w:col w:w="11420"/>
          </w:cols>
          <w:pgMar w:left="240" w:top="2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hope that you will accept our offer to join the Company on the terms of this letter.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Tuesday, August 07, 2012. As required by law, your employment with the Company is contingent upon your providing legal proof of your identity and authorization to work in the United States. This offer is also contingent on successful completion of background and reference checks and starting work with the Company on or before Monday, September 03, 2012.</w:t>
      </w:r>
    </w:p>
    <w:p>
      <w:pPr>
        <w:spacing w:after="0" w:line="1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NPHASE</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Paul B. Nahi</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CEO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Lapointe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A: Employee Invention Assignment and Confidentiality Agreement</w:t>
      </w:r>
    </w:p>
    <w:p>
      <w:pPr>
        <w:spacing w:after="0" w:line="158"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4 of 15</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5"/>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64"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5 of 15</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6"/>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consideration of, and as a condition of my employment with Enphase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hereby represent to, and agree with the Company as follows: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 production and marketing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business and that it is critical for the Company to preserve and protect its Proprietary Information (as defined in Section 7 below), its rights in Inventions (as defined in Section 2 below) and in all related intellectual property rights. Accordingly, I am entering into this Employee Invention Assignment and Confidentiality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a condition of my employment with the Company, whether or not I am expected to create inventions of value for the Company.</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formulas, processes, compositions of matter, computer software programs, databases, mask works, designs and trade secrets that I make or conceive or first reduce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3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I have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a list describing with particularity all inventions, original works of authorship,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 were made by me prior to the commencement of my employment with the Company (collectively referred to as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which belong solely to me or belong to me jointly with another, which relate in any way to any of the Company’s proposed businesses, products or research and development, and which are not assigned to the Company hereunder; or, if no such list is attached, I represent that there are no such Prior Inventions. 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(with the right to sublicense) to make, have made, copy, modify, make derivative works of, use, sell and otherwise distribute such Prior Invention as part of or in connection with such product, process or machine.</w:t>
      </w:r>
    </w:p>
    <w:p>
      <w:pPr>
        <w:spacing w:after="0" w:line="105"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6 of 15</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u w:val="single" w:color="auto"/>
          <w:color w:val="auto"/>
        </w:rPr>
        <w:t>Work for Hire; Assignment of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I acknowledge and agree that any copyrightable works prepared by me within the scope of my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w:t>
      </w:r>
    </w:p>
    <w:p>
      <w:pPr>
        <w:spacing w:after="0" w:line="1" w:lineRule="exact"/>
        <w:rPr>
          <w:sz w:val="20"/>
          <w:szCs w:val="20"/>
          <w:color w:val="auto"/>
        </w:rPr>
      </w:pPr>
    </w:p>
    <w:p>
      <w:pPr>
        <w:ind w:right="140" w:firstLine="8"/>
        <w:spacing w:after="0" w:line="261" w:lineRule="auto"/>
        <w:tabs>
          <w:tab w:leader="none" w:pos="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relate to the Company’s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Labor Code Section 2870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 have been notified and understand that the provisions of Sections 3 and 5 of this Agreement do not apply to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Assigned Invention that qualifies fully under the provisions of Section 2870 of the California Labor Code, which states as follows:</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p>
    <w:p>
      <w:pPr>
        <w:spacing w:after="0" w:line="106"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7 of 15</w:t>
      </w:r>
    </w:p>
    <w:p>
      <w:pPr>
        <w:sectPr>
          <w:pgSz w:w="11900" w:h="16838" w:orient="portrait"/>
          <w:cols w:equalWidth="0" w:num="1">
            <w:col w:w="11420"/>
          </w:cols>
          <w:pgMar w:left="24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u w:val="single" w:color="auto"/>
          <w:color w:val="auto"/>
        </w:rPr>
        <w:t>Assignment of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foregoing assignment of Assigned Inventions to the Company, I hereby irrevocably transfer and assign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Moral Rights</w:t>
      </w:r>
      <w:r>
        <w:rPr>
          <w:rFonts w:ascii="Arial" w:cs="Arial" w:eastAsia="Arial" w:hAnsi="Arial"/>
          <w:sz w:val="16"/>
          <w:szCs w:val="16"/>
          <w:b w:val="1"/>
          <w:bCs w:val="1"/>
          <w:color w:val="auto"/>
        </w:rPr>
        <w:t>”</w:t>
      </w:r>
      <w:r>
        <w:rPr>
          <w:rFonts w:ascii="Arial" w:cs="Arial" w:eastAsia="Arial" w:hAnsi="Arial"/>
          <w:sz w:val="16"/>
          <w:szCs w:val="16"/>
          <w:color w:val="auto"/>
        </w:rPr>
        <w:t xml:space="preserve">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12"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I agree to assist the Company in every proper way to obtain for the Company and enforce patents, copyrights, mask work rights, trade secret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1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u w:val="single" w:color="auto"/>
          <w:color w:val="auto"/>
        </w:rPr>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confidential or secret nature that may be disclosed to me by the Company or a third party that relates to the business of the Company or to the business of any parent, subsidiary, affiliate, customer or supplier of the Company or any other party with whom the Company agrees to hold information of such party in confidence (the “</w:t>
      </w:r>
      <w:r>
        <w:rPr>
          <w:rFonts w:ascii="Arial" w:cs="Arial" w:eastAsia="Arial" w:hAnsi="Arial"/>
          <w:sz w:val="16"/>
          <w:szCs w:val="16"/>
          <w:b w:val="1"/>
          <w:bCs w:val="1"/>
          <w:i w:val="1"/>
          <w:iCs w:val="1"/>
          <w:color w:val="auto"/>
        </w:rPr>
        <w:t>Proprietary Information</w:t>
      </w:r>
      <w:r>
        <w:rPr>
          <w:rFonts w:ascii="Arial" w:cs="Arial" w:eastAsia="Arial" w:hAnsi="Arial"/>
          <w:sz w:val="16"/>
          <w:szCs w:val="16"/>
          <w:color w:val="auto"/>
        </w:rPr>
        <w:t>”). Such Proprietary Information includes, but is not limited to, Assigned Inventions, marketing plans, product plans, business strategies, financial information, forecasts, personnel information, customer lists and data, and domain names.</w:t>
      </w:r>
    </w:p>
    <w:p>
      <w:pPr>
        <w:spacing w:after="0" w:line="100"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8 of 15</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I will keep and hold all such Proprietary Information in 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and trust. I will not use or disclose any Proprietary Information without the prior written consent of the Company,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upon Company request, will execute a document confirming my agreement to honor my responsibilities contained in this Agreement. I will not take with me or retain any documents or materials or copies thereof containing any Proprietary Information.</w:t>
      </w:r>
    </w:p>
    <w:p>
      <w:pPr>
        <w:spacing w:after="0" w:line="139"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u w:val="single" w:color="auto"/>
          <w:color w:val="auto"/>
        </w:rPr>
        <w:t>No Breach of Prior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 represent that my performance of all the terms of this Agreement and my duties as an employee of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spacing w:after="0" w:line="103"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u w:val="single" w:color="auto"/>
          <w:color w:val="auto"/>
        </w:rPr>
        <w:t>Efforts; Duty Not to Compete</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with the Company requires my undivided attention and effort during normal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hours. While I am employed by the Company, I will not, without the Company’s express prior written consent, provide services to, or assist in any manner, any business or third party if such services or assistance would be in direct conflict with the Company’s business interests.</w:t>
      </w:r>
    </w:p>
    <w:p>
      <w:pPr>
        <w:spacing w:after="0" w:line="97"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notify third parties, including, without limitation, customers and actual or potential employers,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my responsibilities hereunder.</w:t>
      </w:r>
    </w:p>
    <w:p>
      <w:pPr>
        <w:spacing w:after="0" w:line="120"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u w:val="single" w:color="auto"/>
          <w:color w:val="auto"/>
        </w:rPr>
        <w:t>Non-Solicitation of Employees/Consultants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for a period of one (1) year thereafter,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away employees or consultants of the Company for my own benefit or for the benefit of any other person or entity.</w:t>
      </w:r>
    </w:p>
    <w:p>
      <w:pPr>
        <w:spacing w:after="0" w:line="67" w:lineRule="exact"/>
        <w:rPr>
          <w:sz w:val="20"/>
          <w:szCs w:val="20"/>
          <w:color w:val="auto"/>
        </w:rPr>
      </w:pPr>
    </w:p>
    <w:p>
      <w:pPr>
        <w:spacing w:after="0"/>
        <w:tabs>
          <w:tab w:leader="none" w:pos="1560" w:val="left"/>
          <w:tab w:leader="none" w:pos="105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9 of 15</w:t>
      </w:r>
    </w:p>
    <w:p>
      <w:pPr>
        <w:sectPr>
          <w:pgSz w:w="11900" w:h="16838" w:orient="portrait"/>
          <w:cols w:equalWidth="0" w:num="1">
            <w:col w:w="11420"/>
          </w:cols>
          <w:pgMar w:left="240" w:top="28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u w:val="single" w:color="auto"/>
          <w:color w:val="auto"/>
        </w:rPr>
        <w:t>Non-Solicitation of Suppliers/Customers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after termination of my employment,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or take away suppliers or customers of the Company if the identity of the supplier or customer or information about the supplier or customer relationship is a trade secret or is otherwise deemed confidential information within the meaning of California law.</w:t>
      </w:r>
    </w:p>
    <w:p>
      <w:pPr>
        <w:spacing w:after="0" w:line="9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u w:val="single" w:color="auto"/>
          <w:color w:val="auto"/>
        </w:rPr>
        <w:t>Name and Likeness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authorize the Company to use, reuse, and to grant others the right to use and reuse, my name, photograph, likeness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spacing w:after="0" w:line="103"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 harm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therefore be entitled to injunctive relief to enforce this Agreement.</w:t>
      </w:r>
    </w:p>
    <w:p>
      <w:pPr>
        <w:spacing w:after="0" w:line="120"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governed by and construed in accordance with the laws of the State of California,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0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together shall constitute one and the same agreement.</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of this Agreement, and supersede all prior understandings and agreements, whether oral or written, between or among the parties hereto with respect to the specific subject matter hereof.</w:t>
      </w:r>
    </w:p>
    <w:p>
      <w:pPr>
        <w:spacing w:after="0" w:line="125" w:lineRule="exact"/>
        <w:rPr>
          <w:sz w:val="20"/>
          <w:szCs w:val="20"/>
          <w:color w:val="auto"/>
        </w:rPr>
      </w:pPr>
    </w:p>
    <w:p>
      <w:pPr>
        <w:spacing w:after="0"/>
        <w:tabs>
          <w:tab w:leader="none" w:pos="1560" w:val="left"/>
          <w:tab w:leader="none" w:pos="104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10 of 15</w:t>
      </w:r>
    </w:p>
    <w:p>
      <w:pPr>
        <w:sectPr>
          <w:pgSz w:w="11900" w:h="16838" w:orient="portrait"/>
          <w:cols w:equalWidth="0" w:num="1">
            <w:col w:w="11420"/>
          </w:cols>
          <w:pgMar w:left="240" w:top="280"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each of the parties hereto. No amendment of or</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u w:val="single" w:color="auto"/>
          <w:color w:val="auto"/>
        </w:rPr>
        <w:t>Successors and Assigns;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 Agreement, this Agreement, and the rights and obligations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0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carry out the purposes and intent of this Agreement.</w:t>
      </w:r>
    </w:p>
    <w:p>
      <w:pPr>
        <w:spacing w:after="0" w:line="12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u w:val="single" w:color="auto"/>
          <w:color w:val="auto"/>
        </w:rPr>
        <w:t>“At Will”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this Agreement does not constitute a contract of employment or obligate the Company to employ me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 This Agreement shall be effective as of the first day of my employment by the Company, which is Monday, September 03, 2012.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spacing w:after="0"/>
        <w:tabs>
          <w:tab w:leader="none" w:pos="1560" w:val="left"/>
          <w:tab w:leader="none" w:pos="1044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11 of 15</w:t>
      </w:r>
    </w:p>
    <w:p>
      <w:pPr>
        <w:sectPr>
          <w:pgSz w:w="11900" w:h="16838" w:orient="portrait"/>
          <w:cols w:equalWidth="0" w:num="1">
            <w:col w:w="11420"/>
          </w:cols>
          <w:pgMar w:left="240" w:top="28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as of the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gridSpan w:val="2"/>
          </w:tcPr>
          <w:p>
            <w:pPr>
              <w:spacing w:after="0"/>
              <w:rPr>
                <w:sz w:val="20"/>
                <w:szCs w:val="20"/>
                <w:color w:val="auto"/>
              </w:rPr>
            </w:pPr>
            <w:r>
              <w:rPr>
                <w:rFonts w:ascii="Arial" w:cs="Arial" w:eastAsia="Arial" w:hAnsi="Arial"/>
                <w:sz w:val="18"/>
                <w:szCs w:val="18"/>
                <w:b w:val="1"/>
                <w:bCs w:val="1"/>
                <w:color w:val="auto"/>
              </w:rPr>
              <w:t>Enphase Energy, Inc.:</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 Nahi</w:t>
            </w:r>
          </w:p>
        </w:tc>
        <w:tc>
          <w:tcPr>
            <w:tcW w:w="3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22"/>
        </w:trPr>
        <w:tc>
          <w:tcPr>
            <w:tcW w:w="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Signature</w:t>
            </w:r>
          </w:p>
        </w:tc>
      </w:tr>
      <w:tr>
        <w:trPr>
          <w:trHeight w:val="433"/>
        </w:trPr>
        <w:tc>
          <w:tcPr>
            <w:tcW w:w="2380" w:type="dxa"/>
            <w:vAlign w:val="bottom"/>
            <w:gridSpan w:val="2"/>
          </w:tcPr>
          <w:p>
            <w:pPr>
              <w:spacing w:after="0"/>
              <w:rPr>
                <w:sz w:val="20"/>
                <w:szCs w:val="20"/>
                <w:color w:val="auto"/>
              </w:rPr>
            </w:pPr>
            <w:r>
              <w:rPr>
                <w:rFonts w:ascii="Arial" w:cs="Arial" w:eastAsia="Arial" w:hAnsi="Arial"/>
                <w:sz w:val="18"/>
                <w:szCs w:val="18"/>
                <w:color w:val="auto"/>
              </w:rPr>
              <w:t>Name: Paul B. Nahi</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Stephen Lapointe</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35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r>
      <w:tr>
        <w:trPr>
          <w:trHeight w:val="384"/>
        </w:trPr>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40" w:type="dxa"/>
            <w:vAlign w:val="bottom"/>
            <w:gridSpan w:val="3"/>
          </w:tcPr>
          <w:p>
            <w:pPr>
              <w:ind w:left="420"/>
              <w:spacing w:after="0"/>
              <w:rPr>
                <w:sz w:val="20"/>
                <w:szCs w:val="20"/>
                <w:color w:val="auto"/>
              </w:rPr>
            </w:pPr>
            <w:r>
              <w:rPr>
                <w:rFonts w:ascii="Arial" w:cs="Arial" w:eastAsia="Arial" w:hAnsi="Arial"/>
                <w:sz w:val="18"/>
                <w:szCs w:val="18"/>
                <w:color w:val="auto"/>
              </w:rPr>
              <w:t>Signature Page to Employee Invention Assignment and Confidentiality Agreement</w:t>
            </w:r>
          </w:p>
        </w:tc>
      </w:tr>
      <w:tr>
        <w:trPr>
          <w:trHeight w:val="365"/>
        </w:trPr>
        <w:tc>
          <w:tcPr>
            <w:tcW w:w="580" w:type="dxa"/>
            <w:vAlign w:val="bottom"/>
          </w:tcPr>
          <w:p>
            <w:pPr>
              <w:spacing w:after="0"/>
              <w:rPr>
                <w:sz w:val="20"/>
                <w:szCs w:val="20"/>
                <w:color w:val="auto"/>
              </w:rPr>
            </w:pPr>
            <w:r>
              <w:rPr>
                <w:rFonts w:ascii="Arial" w:cs="Arial" w:eastAsia="Arial" w:hAnsi="Arial"/>
                <w:sz w:val="18"/>
                <w:szCs w:val="18"/>
                <w:color w:val="auto"/>
              </w:rPr>
              <w:t>Initial:</w:t>
            </w:r>
          </w:p>
        </w:tc>
        <w:tc>
          <w:tcPr>
            <w:tcW w:w="1800" w:type="dxa"/>
            <w:vAlign w:val="bottom"/>
          </w:tcPr>
          <w:p>
            <w:pPr>
              <w:ind w:left="1000"/>
              <w:spacing w:after="0"/>
              <w:rPr>
                <w:sz w:val="20"/>
                <w:szCs w:val="20"/>
                <w:color w:val="auto"/>
              </w:rPr>
            </w:pPr>
            <w:r>
              <w:rPr>
                <w:rFonts w:ascii="Arial" w:cs="Arial" w:eastAsia="Arial" w:hAnsi="Arial"/>
                <w:sz w:val="18"/>
                <w:szCs w:val="18"/>
                <w:color w:val="auto"/>
              </w:rPr>
              <w:t>Date:</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ind w:left="4380"/>
              <w:spacing w:after="0"/>
              <w:rPr>
                <w:sz w:val="20"/>
                <w:szCs w:val="20"/>
                <w:color w:val="auto"/>
              </w:rPr>
            </w:pPr>
            <w:r>
              <w:rPr>
                <w:rFonts w:ascii="Arial" w:cs="Arial" w:eastAsia="Arial" w:hAnsi="Arial"/>
                <w:sz w:val="18"/>
                <w:szCs w:val="18"/>
                <w:color w:val="auto"/>
                <w:w w:val="85"/>
              </w:rPr>
              <w:t>Page 12 of 15</w:t>
            </w:r>
          </w:p>
        </w:tc>
      </w:tr>
    </w:tbl>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707-763-4784 | f: 707-763-1816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www.enphase.com</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EXHIBIT A</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LIST OF PRIOR INVENTIONS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ORIGINAL WORKS OF AUTHORSHIP</w:t>
      </w:r>
    </w:p>
    <w:p>
      <w:pPr>
        <w:spacing w:after="0" w:line="19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w w:val="93"/>
              </w:rPr>
              <w:t>Identifying Number</w:t>
            </w:r>
          </w:p>
        </w:tc>
      </w:tr>
      <w:tr>
        <w:trPr>
          <w:trHeight w:val="166"/>
        </w:trPr>
        <w:tc>
          <w:tcPr>
            <w:tcW w:w="2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0"/>
              </w:rPr>
              <w:t>Title</w:t>
            </w:r>
          </w:p>
        </w:tc>
        <w:tc>
          <w:tcPr>
            <w:tcW w:w="3620" w:type="dxa"/>
            <w:vAlign w:val="bottom"/>
          </w:tcPr>
          <w:p>
            <w:pPr>
              <w:spacing w:after="0"/>
              <w:rPr>
                <w:sz w:val="14"/>
                <w:szCs w:val="14"/>
                <w:color w:val="auto"/>
              </w:rPr>
            </w:pPr>
          </w:p>
        </w:tc>
        <w:tc>
          <w:tcPr>
            <w:tcW w:w="2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1"/>
              </w:rPr>
              <w:t>Date</w:t>
            </w:r>
          </w:p>
        </w:tc>
        <w:tc>
          <w:tcPr>
            <w:tcW w:w="3040" w:type="dxa"/>
            <w:vAlign w:val="bottom"/>
          </w:tcPr>
          <w:p>
            <w:pPr>
              <w:spacing w:after="0"/>
              <w:rPr>
                <w:sz w:val="14"/>
                <w:szCs w:val="14"/>
                <w:color w:val="auto"/>
              </w:rPr>
            </w:pPr>
          </w:p>
        </w:tc>
        <w:tc>
          <w:tcPr>
            <w:tcW w:w="11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92"/>
              </w:rPr>
              <w:t>or Brief Description</w:t>
            </w:r>
          </w:p>
        </w:tc>
      </w:tr>
    </w:tbl>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inventions or improvements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 Sheets 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1699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Stephen </w:t>
      </w:r>
      <w:r>
        <w:rPr>
          <w:rFonts w:ascii="Arial" w:cs="Arial" w:eastAsia="Arial" w:hAnsi="Arial"/>
          <w:sz w:val="18"/>
          <w:szCs w:val="18"/>
          <w:u w:val="single" w:color="auto"/>
          <w:color w:val="auto"/>
        </w:rPr>
        <w:t>Lapointe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Initial: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13 of 15</w:t>
      </w:r>
    </w:p>
    <w:p>
      <w:pPr>
        <w:sectPr>
          <w:pgSz w:w="11900" w:h="16838" w:orient="portrait"/>
          <w:cols w:equalWidth="0" w:num="3">
            <w:col w:w="860" w:space="720"/>
            <w:col w:w="8140" w:space="720"/>
            <w:col w:w="980"/>
          </w:cols>
          <w:pgMar w:left="240" w:top="280"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64" w:lineRule="exact"/>
        <w:rPr>
          <w:sz w:val="20"/>
          <w:szCs w:val="20"/>
          <w:color w:val="auto"/>
        </w:rPr>
      </w:pPr>
    </w:p>
    <w:p>
      <w:pPr>
        <w:spacing w:after="0"/>
        <w:tabs>
          <w:tab w:leader="none" w:pos="1560" w:val="left"/>
          <w:tab w:leader="none" w:pos="104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14 of 15</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1420 N. McDowell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-125730</wp:posOffset>
            </wp:positionV>
            <wp:extent cx="1500505" cy="411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Petaluma CA 94952</w:t>
      </w:r>
    </w:p>
    <w:p>
      <w:pPr>
        <w:spacing w:after="0" w:line="9" w:lineRule="exact"/>
        <w:rPr>
          <w:sz w:val="20"/>
          <w:szCs w:val="20"/>
          <w:color w:val="auto"/>
        </w:rPr>
      </w:pPr>
    </w:p>
    <w:p>
      <w:pPr>
        <w:ind w:right="9000" w:firstLine="8"/>
        <w:spacing w:after="0" w:line="261" w:lineRule="auto"/>
        <w:tabs>
          <w:tab w:leader="none" w:pos="1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Certification</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This is to certify that I do not have in my possession, nor have I failed to return, any devices, records, data, notes, reports, proposals, lists, correspondence, specifications, drawings, blueprints, sketches, materials, equipment, other documents or property, or reproductions of any aforementioned items belonging to Enphase Energy, Inc., its subsidiaries, affiliates, successors or assigns (together, the “Company”).</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 further certify that I have complied with all the terms of my employment and the Company’s Employee Invention Assignment and Confidentiality Agreement signed by me, including the recording of any inventions, original works of authorship, or other Intellectual Property (as defined therein), conceived or made by me (solely or jointly with others) covered by that agreement.</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 further agree that, in compliance with the Employee Invention Assignment and Confidentiality Agreement, I will preserve as confidential all trade secrets, confidential knowledge, data or other proprietary information relating to products, processes,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further agree that, in compliance with the Employee Invention Assignment and Confidentiality Agreement, I will abide by the Covenants Not To Solicit (as set forth therein).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1811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Employee: Stephen </w:t>
      </w:r>
      <w:r>
        <w:rPr>
          <w:rFonts w:ascii="Arial" w:cs="Arial" w:eastAsia="Arial" w:hAnsi="Arial"/>
          <w:sz w:val="18"/>
          <w:szCs w:val="18"/>
          <w:u w:val="single" w:color="auto"/>
          <w:color w:val="auto"/>
        </w:rPr>
        <w:t>Lapointe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575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spacing w:after="0"/>
        <w:tabs>
          <w:tab w:leader="none" w:pos="1560" w:val="left"/>
          <w:tab w:leader="none" w:pos="10420" w:val="left"/>
        </w:tabs>
        <w:rPr>
          <w:sz w:val="20"/>
          <w:szCs w:val="20"/>
          <w:color w:val="auto"/>
        </w:rPr>
      </w:pPr>
      <w:r>
        <w:rPr>
          <w:rFonts w:ascii="Arial" w:cs="Arial" w:eastAsia="Arial" w:hAnsi="Arial"/>
          <w:sz w:val="18"/>
          <w:szCs w:val="18"/>
          <w:color w:val="auto"/>
        </w:rPr>
        <w:t>Initial: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Page 15 of 15</w:t>
      </w:r>
    </w:p>
    <w:p>
      <w:pPr>
        <w:sectPr>
          <w:pgSz w:w="11900" w:h="16838" w:orient="portrait"/>
          <w:cols w:equalWidth="0" w:num="1">
            <w:col w:w="11420"/>
          </w:cols>
          <w:pgMar w:left="240" w:top="2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10.45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Wednesday, May 02,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Ciaran Fox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Dunholme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 94087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Ciaran: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Enphase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employment on the following terms:</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Vice President of Quality and Reliability and you will report to Paul Nahi, CEO. This is a full-time exempt position located in</w:t>
      </w:r>
      <w:r>
        <w:rPr>
          <w:rFonts w:ascii="Arial" w:cs="Arial" w:eastAsia="Arial" w:hAnsi="Arial"/>
          <w:sz w:val="16"/>
          <w:szCs w:val="16"/>
          <w:b w:val="1"/>
          <w:bCs w:val="1"/>
          <w:color w:val="auto"/>
        </w:rPr>
        <w:t xml:space="preserve"> </w:t>
      </w:r>
      <w:r>
        <w:rPr>
          <w:rFonts w:ascii="Arial" w:cs="Arial" w:eastAsia="Arial" w:hAnsi="Arial"/>
          <w:sz w:val="16"/>
          <w:szCs w:val="16"/>
          <w:color w:val="auto"/>
        </w:rPr>
        <w:t>Petaluma, CA. While you render services to the Company, you will not engage in any other employment, consulting or other business activity (whether full-time or part-time) that would create a conflict of interest with your duties to the Company. By signing this letter agreement, you confirm to the Company that you have no contractual commitments or other legal obligations that would prohibit you from performing your duties for the Company.</w:t>
      </w:r>
    </w:p>
    <w:p>
      <w:pPr>
        <w:spacing w:after="0" w:line="10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starting salary at the rate of Two Hundred and Thirty Thousand Dollars: ($230,000) per year, payable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Company’s standard payroll schedule. Your salary will be subject to adjustment pursuant to the Company’s employee compensation policies in effect from time to time. In addition to your salary, you will be eligible for a one-time bonus of Seven Thousand, Five Hundred Dollars ($7,500) payable on your first pay period, subject to applicable withholding taxes. If you voluntarily leave the Company within one year of continuous employment, you are required to return the total amount of the one-time bonus. You are also eligible for the Enphase Energy incentive bonus plan which qualifies you for an annual bonus of up to 25% of your base salary. (Prorated the first year)</w:t>
      </w:r>
    </w:p>
    <w:p>
      <w:pPr>
        <w:spacing w:after="0" w:line="11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Relocation Expenses</w:t>
      </w:r>
      <w:r>
        <w:rPr>
          <w:rFonts w:ascii="Arial" w:cs="Arial" w:eastAsia="Arial" w:hAnsi="Arial"/>
          <w:sz w:val="16"/>
          <w:szCs w:val="16"/>
          <w:color w:val="auto"/>
        </w:rPr>
        <w:t>. You will be eligible for reimbursement of up to Seven Thousand and Five Hundred: ($7,500) in qualified relocation expenses for your</w:t>
      </w:r>
      <w:r>
        <w:rPr>
          <w:rFonts w:ascii="Arial" w:cs="Arial" w:eastAsia="Arial" w:hAnsi="Arial"/>
          <w:sz w:val="16"/>
          <w:szCs w:val="16"/>
          <w:b w:val="1"/>
          <w:bCs w:val="1"/>
          <w:color w:val="auto"/>
        </w:rPr>
        <w:t xml:space="preserve"> </w:t>
      </w:r>
      <w:r>
        <w:rPr>
          <w:rFonts w:ascii="Arial" w:cs="Arial" w:eastAsia="Arial" w:hAnsi="Arial"/>
          <w:sz w:val="16"/>
          <w:szCs w:val="16"/>
          <w:color w:val="auto"/>
        </w:rPr>
        <w:t>move to Northern California in accordance with the Company’s expense reimbursement policies provided that you complete your relocation by Friday, November 09, 2012. You will be responsible for all state and federal income and employment taxes associated with these expense payments. If you voluntarily leave the Company within one year of continuous employment, you are required to return the total amount of the relocation assistance. In addition, Enphase Energy will pay costs for temporary housing and utilities for up to four months for an amount not to exceed Twelve Thousand Dollars ($12,000).</w:t>
      </w:r>
    </w:p>
    <w:p>
      <w:pPr>
        <w:spacing w:after="0" w:line="108"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regular health insurance, profit sharing, bonus, employee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other employee benefit plans if and as established and maintained by the Company for its employees from time to time. In addition, you will be entitled to paid vacation in accordance with the Company’s vacation policy, as in effect from time to time.</w:t>
      </w:r>
    </w:p>
    <w:p>
      <w:pPr>
        <w:spacing w:after="0" w:line="90"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1 of 15</w:t>
      </w:r>
    </w:p>
    <w:p>
      <w:pPr>
        <w:sectPr>
          <w:pgSz w:w="11900" w:h="16838" w:orient="portrait"/>
          <w:cols w:equalWidth="0" w:num="1">
            <w:col w:w="11420"/>
          </w:cols>
          <w:pgMar w:left="240" w:top="125"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reimbursed for reasonable legitimate business expenses incurred in the performance of your duties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policies, as in effect from time to time.</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Stock Grant</w:t>
      </w:r>
      <w:r>
        <w:rPr>
          <w:rFonts w:ascii="Arial" w:cs="Arial" w:eastAsia="Arial" w:hAnsi="Arial"/>
          <w:sz w:val="16"/>
          <w:szCs w:val="16"/>
          <w:color w:val="auto"/>
        </w:rPr>
        <w:t>. Following execution of this letter agreement, we will recommend to the Board of Directors of the Company that you be granted the option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up to 90,000 of Common Stock of the Company under the Company’s 2011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(as adjusted for stock splits, stock dividends, reclassifications and the like). This equates to .22% of outstanding common stock as of May 1</w:t>
      </w:r>
      <w:r>
        <w:rPr>
          <w:rFonts w:ascii="Arial" w:cs="Arial" w:eastAsia="Arial" w:hAnsi="Arial"/>
          <w:sz w:val="10"/>
          <w:szCs w:val="10"/>
          <w:color w:val="auto"/>
        </w:rPr>
        <w:t>st</w:t>
      </w:r>
      <w:r>
        <w:rPr>
          <w:rFonts w:ascii="Arial" w:cs="Arial" w:eastAsia="Arial" w:hAnsi="Arial"/>
          <w:sz w:val="16"/>
          <w:szCs w:val="16"/>
          <w:color w:val="auto"/>
        </w:rPr>
        <w:t>. The exercise price per share will be equal to the fair market value per share on the date the Board approves such grant or on your first day of employment, whichever is later. The shares will be subject to the terms and conditions applicable to shares granted under the Plan, as described in and subject to the Plan and the applicable stock option or purchase agreement. Subject to your continued employment and the terms and conditions of the Plan and applicable agreement, twenty-five percent (25%) of the shares will vest and become exercisable twelve (12) months following your first date of employment, and the balance will vest and become exercisable in equal monthly installments over the next thirty-six (36) months of continuous service, as described in the applicable stock purchase agreement.</w:t>
      </w:r>
    </w:p>
    <w:p>
      <w:pPr>
        <w:spacing w:after="0" w:line="112"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With respect to the foregoing, the grant of the opportunity to purchase such shares by the Company is subject to the Board’s approval and this promise to recommend such approval is not a promise of compensation and is not intended to create any obligation on the part of the Company.</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As an employee of the Company, you will have access to certain confidential information of the Company and you may, during the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employment, develop certain information or inventions that will be the property of the Company. To protect the interests of the Company, you will need to sign the Company’s standard “Employee Invention Assignment and Confidentiality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 You represent that your signing of this offer letter, agreement(s) concerning stock granted to you, if any, under the Plan and the Company’s Employee Invention Assignment and Confidentially Agreement and your commencement of employment with the Company will not violate any agreement currently in place between you and current or past employers.</w:t>
      </w:r>
    </w:p>
    <w:p>
      <w:pPr>
        <w:spacing w:after="0" w:line="111"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2 of 15</w:t>
      </w:r>
    </w:p>
    <w:p>
      <w:pPr>
        <w:sectPr>
          <w:pgSz w:w="11900" w:h="16838" w:orient="portrait"/>
          <w:cols w:equalWidth="0" w:num="1">
            <w:col w:w="11420"/>
          </w:cols>
          <w:pgMar w:left="240" w:top="28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Employment Relationship</w:t>
      </w:r>
      <w:r>
        <w:rPr>
          <w:rFonts w:ascii="Arial" w:cs="Arial" w:eastAsia="Arial" w:hAnsi="Arial"/>
          <w:sz w:val="16"/>
          <w:szCs w:val="16"/>
          <w:color w:val="auto"/>
        </w:rPr>
        <w:t>. Employment with the Company is for no specific period of time. Your employment with the Company will be “at will,” meaning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forms of compensation referred to in this letter agreement are subject to reduction to reflect applicable withholding and payroll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deductions required by law.</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the complete agreement between you and the Company, contain</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Arial" w:cs="Arial" w:eastAsia="Arial" w:hAnsi="Arial"/>
          <w:sz w:val="16"/>
          <w:szCs w:val="16"/>
          <w:b w:val="1"/>
          <w:bCs w:val="1"/>
          <w:i w:val="1"/>
          <w:iCs w:val="1"/>
          <w:color w:val="auto"/>
        </w:rPr>
        <w:t>Disputes</w:t>
      </w:r>
      <w:r>
        <w:rPr>
          <w:rFonts w:ascii="Arial" w:cs="Arial" w:eastAsia="Arial" w:hAnsi="Arial"/>
          <w:sz w:val="16"/>
          <w:szCs w:val="16"/>
          <w:color w:val="auto"/>
        </w:rPr>
        <w:t>”) will be governed by California law, excluding laws relating to conflicts or choice of law. You and the Company submit to the exclusive personal jurisdiction of the federal and state courts located in San Francisco and Sonoma County in connection with any Dispute or any claim related to any Dispute.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3 of 15</w:t>
      </w:r>
    </w:p>
    <w:p>
      <w:pPr>
        <w:sectPr>
          <w:pgSz w:w="11900" w:h="16838" w:orient="portrait"/>
          <w:cols w:equalWidth="0" w:num="1">
            <w:col w:w="11420"/>
          </w:cols>
          <w:pgMar w:left="240" w:top="280"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69"/>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hope that you will accept our offer to join the Company on the terms of this letter.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Tuesday, May 08, 2012. As required by law, your employment with the Company is contingent upon your providing legal proof of your identity and authorization to work in the United States. Your employment is also contingent upon your starting work with the Company on or before Monday, July 09, 2012.</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NPHASE</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Paul B. Nahi</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 and CEO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Ciaran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Ciaran Fox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5/8/12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Exhibit A: Employee Invention Assignment and Confidentiality Agreement</w:t>
      </w:r>
    </w:p>
    <w:p>
      <w:pPr>
        <w:spacing w:after="0" w:line="158"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4 of 15</w:t>
      </w:r>
    </w:p>
    <w:p>
      <w:pPr>
        <w:sectPr>
          <w:pgSz w:w="11900" w:h="16838" w:orient="portrait"/>
          <w:cols w:equalWidth="0" w:num="1">
            <w:col w:w="11420"/>
          </w:cols>
          <w:pgMar w:left="240" w:top="28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-121285</wp:posOffset>
            </wp:positionV>
            <wp:extent cx="1500505"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64"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5 of 15</w:t>
      </w:r>
    </w:p>
    <w:p>
      <w:pPr>
        <w:sectPr>
          <w:pgSz w:w="11900" w:h="16838" w:orient="portrait"/>
          <w:cols w:equalWidth="0" w:num="1">
            <w:col w:w="11420"/>
          </w:cols>
          <w:pgMar w:left="24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1"/>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consideration of, and as a condition of my employment with Enphase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hereby represent to, and agree with the Company as follows:</w:t>
      </w:r>
    </w:p>
    <w:p>
      <w:pPr>
        <w:spacing w:after="0" w:line="1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 production and marketing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business and that it is critical for the Company to preserve and protect its Proprietary Information (as defined in Section 7 below), its rights in Inventions (as defined in Section 2 below) and in all related intellectual property rights. Accordingly, I am entering into this Employee Invention Assignment and Confidentiality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a condition of my employment with the Company, whether or not I am expected to create inventions of value for the Company.</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formulas, processes, compositions of matter, computer software programs, databases, mask works, designs and trade secrets that I make or conceive or first reduce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3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u w:val="single" w:color="auto"/>
          <w:color w:val="auto"/>
        </w:rPr>
        <w:t>Inventions Retained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I have attaced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a list describing with particularity all inventions, original works of authorship,</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developments, improvements, and trade secrets which were made by me prior to the commencement of my employment with the Company (collectively referred to as “</w:t>
      </w:r>
      <w:r>
        <w:rPr>
          <w:rFonts w:ascii="Arial" w:cs="Arial" w:eastAsia="Arial" w:hAnsi="Arial"/>
          <w:sz w:val="16"/>
          <w:szCs w:val="16"/>
          <w:b w:val="1"/>
          <w:bCs w:val="1"/>
          <w:i w:val="1"/>
          <w:iCs w:val="1"/>
          <w:color w:val="auto"/>
        </w:rPr>
        <w:t>Prior Inventions</w:t>
      </w:r>
      <w:r>
        <w:rPr>
          <w:rFonts w:ascii="Arial" w:cs="Arial" w:eastAsia="Arial" w:hAnsi="Arial"/>
          <w:sz w:val="16"/>
          <w:szCs w:val="16"/>
          <w:color w:val="auto"/>
        </w:rPr>
        <w:t>”), which belong solely to me or belong to me jointly with another, which relate in any way to any of the Company’s proposed businesses, products or research and development, and which are not assigned to the Company hereunder; or, if no such list is attached, I represent that there are no such Prior Inventions. 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(with the right to sublicense) to make, have made, copy, modify, make derivative works of, use, sell and otherwise distribute such Prior Invention as part of or in connection with such product, process or machine.</w:t>
      </w:r>
    </w:p>
    <w:p>
      <w:pPr>
        <w:spacing w:after="0" w:line="105"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6 of 15</w:t>
      </w:r>
    </w:p>
    <w:p>
      <w:pPr>
        <w:sectPr>
          <w:pgSz w:w="11900" w:h="16838" w:orient="portrait"/>
          <w:cols w:equalWidth="0" w:num="1">
            <w:col w:w="11420"/>
          </w:cols>
          <w:pgMar w:left="240" w:top="28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u w:val="single" w:color="auto"/>
          <w:color w:val="auto"/>
        </w:rPr>
        <w:t>Work for Hire; Assignment of 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I acknowledge and agree that any copyrightable works prepared by me within the scope of my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w:t>
      </w:r>
    </w:p>
    <w:p>
      <w:pPr>
        <w:spacing w:after="0" w:line="1" w:lineRule="exact"/>
        <w:rPr>
          <w:sz w:val="20"/>
          <w:szCs w:val="20"/>
          <w:color w:val="auto"/>
        </w:rPr>
      </w:pPr>
    </w:p>
    <w:p>
      <w:pPr>
        <w:ind w:right="140" w:firstLine="8"/>
        <w:spacing w:after="0" w:line="261"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relate to the Company’s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Labor Code Section 2870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 have been notified and understand that the provisions of Sections 3 and 5 of this Agreement do not apply to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Assigned Invention that qualifies fully under the provisions of Section 2870 of the California Labor Code, which states as follows:</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p>
    <w:p>
      <w:pPr>
        <w:spacing w:after="0" w:line="106"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7 of 15</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u w:val="single" w:color="auto"/>
          <w:color w:val="auto"/>
        </w:rPr>
        <w:t>Assignment of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the foregoing assignment of Assigned Inventions to the Company, I hereby irrevocably transfer and assign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6"/>
          <w:szCs w:val="16"/>
          <w:b w:val="1"/>
          <w:bCs w:val="1"/>
          <w:i w:val="1"/>
          <w:iCs w:val="1"/>
          <w:color w:val="auto"/>
        </w:rPr>
        <w:t>Moral Rights</w:t>
      </w:r>
      <w:r>
        <w:rPr>
          <w:rFonts w:ascii="Arial" w:cs="Arial" w:eastAsia="Arial" w:hAnsi="Arial"/>
          <w:sz w:val="16"/>
          <w:szCs w:val="16"/>
          <w:color w:val="auto"/>
        </w:rPr>
        <w:t>”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12"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u w:val="single" w:color="auto"/>
          <w:color w:val="auto"/>
        </w:rPr>
        <w:t>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I agree to assist the Company in every proper way to obtain for the Company and enforce patents, copyrights, mask work rights, trade secret</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excute documents on my behalf for this purpose.</w:t>
      </w:r>
    </w:p>
    <w:p>
      <w:pPr>
        <w:spacing w:after="0" w:line="11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u w:val="single" w:color="auto"/>
          <w:color w:val="auto"/>
        </w:rPr>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confidential or secret nature that may be disclosed to me by the Company or a third party that relates to the business of the Company or to the business of any parent, subsidiary, affiliate, customer or supplier of the Company or any other party with whom the Company agrees to hold information of such party in confidence (the “</w:t>
      </w:r>
      <w:r>
        <w:rPr>
          <w:rFonts w:ascii="Arial" w:cs="Arial" w:eastAsia="Arial" w:hAnsi="Arial"/>
          <w:sz w:val="16"/>
          <w:szCs w:val="16"/>
          <w:b w:val="1"/>
          <w:bCs w:val="1"/>
          <w:i w:val="1"/>
          <w:iCs w:val="1"/>
          <w:color w:val="auto"/>
        </w:rPr>
        <w:t>Proprietary Information</w:t>
      </w:r>
      <w:r>
        <w:rPr>
          <w:rFonts w:ascii="Arial" w:cs="Arial" w:eastAsia="Arial" w:hAnsi="Arial"/>
          <w:sz w:val="16"/>
          <w:szCs w:val="16"/>
          <w:color w:val="auto"/>
        </w:rPr>
        <w:t>”). Such Proprietary Information includes, but is not limited to, Assigned Inventions, marketing plans, product plans, business strategies, financial information, forecasts, personnel information, customer lists and data, and domain names.</w:t>
      </w:r>
    </w:p>
    <w:p>
      <w:pPr>
        <w:spacing w:after="0" w:line="100"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8 of 15</w:t>
      </w:r>
    </w:p>
    <w:p>
      <w:pPr>
        <w:sectPr>
          <w:pgSz w:w="11900" w:h="16838" w:orient="portrait"/>
          <w:cols w:equalWidth="0" w:num="1">
            <w:col w:w="11420"/>
          </w:cols>
          <w:pgMar w:left="240" w:top="28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I will keep and hold all such Proprietary Information in strict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and trust. I will not use or disclose any Proprietary Information without the prior written consent of the Company,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upon Company request, will execute a document confirming my agreement to honor my responsibilities contained in this Agreement. I will not take with me or retain any documents or materials or copies thereof containing any Proprietary Information.</w:t>
      </w:r>
    </w:p>
    <w:p>
      <w:pPr>
        <w:spacing w:after="0" w:line="139"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u w:val="single" w:color="auto"/>
          <w:color w:val="auto"/>
        </w:rPr>
        <w:t>No Breach of prior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 represent that my performance of all the terms of this Agreement and my duties as an employee of the Company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spacing w:after="0" w:line="103"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u w:val="single" w:color="auto"/>
          <w:color w:val="auto"/>
        </w:rPr>
        <w:t>Efforts; Duty Not to Compete</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with the Company requires my undivided attention and effort during normal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hours. While I am employed by the Company, I will not, without the Company’s express prior written consent, provide services to, or assist in any manner, any business or third party if such services or assistance would be in direct conflict with the Company’s business interests.</w:t>
      </w:r>
    </w:p>
    <w:p>
      <w:pPr>
        <w:spacing w:after="0" w:line="97"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notify third parties, including, without limitation, customers and actual or potential employers,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 and my responsibilities hereunder.</w:t>
      </w:r>
    </w:p>
    <w:p>
      <w:pPr>
        <w:spacing w:after="0" w:line="120"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u w:val="single" w:color="auto"/>
          <w:color w:val="auto"/>
        </w:rPr>
        <w:t>Non-Solicitation of Employees/Consultants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for a period of one (1) year thereafter,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away employees or consultants of the Company for my own benefit or for the benefit of any other person or entity.</w:t>
      </w:r>
    </w:p>
    <w:p>
      <w:pPr>
        <w:spacing w:after="0" w:line="67" w:lineRule="exact"/>
        <w:rPr>
          <w:sz w:val="20"/>
          <w:szCs w:val="20"/>
          <w:color w:val="auto"/>
        </w:rPr>
      </w:pPr>
    </w:p>
    <w:p>
      <w:pPr>
        <w:spacing w:after="0"/>
        <w:tabs>
          <w:tab w:leader="none" w:pos="1200" w:val="left"/>
          <w:tab w:leader="none" w:pos="105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9 of 15</w:t>
      </w:r>
    </w:p>
    <w:p>
      <w:pPr>
        <w:sectPr>
          <w:pgSz w:w="11900" w:h="16838" w:orient="portrait"/>
          <w:cols w:equalWidth="0" w:num="1">
            <w:col w:w="11420"/>
          </w:cols>
          <w:pgMar w:left="240" w:top="28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u w:val="single" w:color="auto"/>
          <w:color w:val="auto"/>
        </w:rPr>
        <w:t>Non-Solicitation of Suppliers/Customers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my employment with the Company and after termination of my employment, I will not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solicit or take away suppliers or customers of the Company if the identity of the supplier or customer or information about the supplier or customer relationship is a trade secret or is otherwise deemed confidential information within the meaning of California law.</w:t>
      </w:r>
    </w:p>
    <w:p>
      <w:pPr>
        <w:spacing w:after="0" w:line="9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u w:val="single" w:color="auto"/>
          <w:color w:val="auto"/>
        </w:rPr>
        <w:t>Name and Likeness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authorize the Company to use, reuse, and to grant others the right to use and reuse, my name, photograph, likeness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spacing w:after="0" w:line="103"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 harm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therefore be entitled to injunctive relief to enforce this Agreement.</w:t>
      </w:r>
    </w:p>
    <w:p>
      <w:pPr>
        <w:spacing w:after="0" w:line="120"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u w:val="single" w:color="auto"/>
          <w:color w:val="auto"/>
        </w:rPr>
        <w:t>Governing Law; 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governed by and construed in accordance with the laws of the State of California,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08"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together shall constitute one and the same agreement.</w:t>
      </w:r>
    </w:p>
    <w:p>
      <w:pPr>
        <w:spacing w:after="0" w:line="120"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subject matter of this Agreement, and supersede all prior understandings and agreements, whether oral or written, between or among the parties hereto with respect to the specific subject matter hereof.</w:t>
      </w:r>
    </w:p>
    <w:p>
      <w:pPr>
        <w:spacing w:after="0" w:line="125" w:lineRule="exact"/>
        <w:rPr>
          <w:sz w:val="20"/>
          <w:szCs w:val="20"/>
          <w:color w:val="auto"/>
        </w:rPr>
      </w:pPr>
    </w:p>
    <w:p>
      <w:pPr>
        <w:spacing w:after="0"/>
        <w:tabs>
          <w:tab w:leader="none" w:pos="1200" w:val="left"/>
          <w:tab w:leader="none" w:pos="104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10 of 15</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each of the parties hereto. No amendment of or</w:t>
      </w:r>
      <w:r>
        <w:rPr>
          <w:rFonts w:ascii="Arial" w:cs="Arial" w:eastAsia="Arial" w:hAnsi="Arial"/>
          <w:sz w:val="16"/>
          <w:szCs w:val="16"/>
          <w:b w:val="1"/>
          <w:bCs w:val="1"/>
          <w:color w:val="auto"/>
        </w:rPr>
        <w:t xml:space="preserve"> </w:t>
      </w:r>
      <w:r>
        <w:rPr>
          <w:rFonts w:ascii="Arial" w:cs="Arial" w:eastAsia="Arial" w:hAnsi="Arial"/>
          <w:sz w:val="16"/>
          <w:szCs w:val="16"/>
          <w:color w:val="auto"/>
        </w:rPr>
        <w:t>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u w:val="single" w:color="auto"/>
          <w:color w:val="auto"/>
        </w:rPr>
        <w:t>Successors and Assigns; 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 Agreement, this Agreement, and the rights and obligations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will be binding upon and inure to the benefits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0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carry out purposes and intent of this Agreement.</w:t>
      </w:r>
    </w:p>
    <w:p>
      <w:pPr>
        <w:spacing w:after="0" w:line="120"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b w:val="1"/>
          <w:bCs w:val="1"/>
          <w:u w:val="single" w:color="auto"/>
          <w:color w:val="auto"/>
        </w:rPr>
        <w:t>“At Will”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this Agreement does not constitute a contract of employment or obligate the Company to employ me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started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 This Agreement shall be effective as of the first day of my employment by the Company, which is Monday, July 09, 2012.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spacing w:after="0"/>
        <w:tabs>
          <w:tab w:leader="none" w:pos="1200" w:val="left"/>
          <w:tab w:leader="none" w:pos="1044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11 of 15</w:t>
      </w:r>
    </w:p>
    <w:p>
      <w:pPr>
        <w:sectPr>
          <w:pgSz w:w="11900" w:h="16838" w:orient="portrait"/>
          <w:cols w:equalWidth="0" w:num="1">
            <w:col w:w="11420"/>
          </w:cols>
          <w:pgMar w:left="240" w:top="2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8"/>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Agreement as of the July 9, 2012.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Enphase Energy, Inc.:</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B.Nahi</w:t>
            </w:r>
          </w:p>
        </w:tc>
        <w:tc>
          <w:tcPr>
            <w:tcW w:w="31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Ciaran Fox</w:t>
            </w:r>
          </w:p>
        </w:tc>
      </w:tr>
      <w:tr>
        <w:trPr>
          <w:trHeight w:val="222"/>
        </w:trPr>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Signature</w:t>
            </w:r>
          </w:p>
        </w:tc>
      </w:tr>
      <w:tr>
        <w:trPr>
          <w:trHeight w:val="32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Paul B.Nahi</w:t>
            </w:r>
          </w:p>
        </w:tc>
        <w:tc>
          <w:tcPr>
            <w:tcW w:w="31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Ciaran Fox</w:t>
            </w:r>
          </w:p>
        </w:tc>
      </w:tr>
      <w:tr>
        <w:trPr>
          <w:trHeight w:val="439"/>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and CEO</w:t>
            </w:r>
          </w:p>
        </w:tc>
        <w:tc>
          <w:tcPr>
            <w:tcW w:w="318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384"/>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980" w:type="dxa"/>
            <w:vAlign w:val="bottom"/>
            <w:gridSpan w:val="3"/>
          </w:tcPr>
          <w:p>
            <w:pPr>
              <w:ind w:left="360"/>
              <w:spacing w:after="0"/>
              <w:rPr>
                <w:sz w:val="20"/>
                <w:szCs w:val="20"/>
                <w:color w:val="auto"/>
              </w:rPr>
            </w:pPr>
            <w:r>
              <w:rPr>
                <w:rFonts w:ascii="Arial" w:cs="Arial" w:eastAsia="Arial" w:hAnsi="Arial"/>
                <w:sz w:val="18"/>
                <w:szCs w:val="18"/>
                <w:color w:val="auto"/>
              </w:rPr>
              <w:t>Signature Page to Employee Invention Assignment and Confidentiality Agreement</w:t>
            </w:r>
          </w:p>
        </w:tc>
      </w:tr>
      <w:tr>
        <w:trPr>
          <w:trHeight w:val="365"/>
        </w:trPr>
        <w:tc>
          <w:tcPr>
            <w:tcW w:w="1040" w:type="dxa"/>
            <w:vAlign w:val="bottom"/>
            <w:gridSpan w:val="2"/>
          </w:tcPr>
          <w:p>
            <w:pPr>
              <w:spacing w:after="0"/>
              <w:rPr>
                <w:sz w:val="20"/>
                <w:szCs w:val="20"/>
                <w:color w:val="auto"/>
              </w:rPr>
            </w:pPr>
            <w:r>
              <w:rPr>
                <w:rFonts w:ascii="Arial" w:cs="Arial" w:eastAsia="Arial" w:hAnsi="Arial"/>
                <w:sz w:val="18"/>
                <w:szCs w:val="18"/>
                <w:color w:val="auto"/>
              </w:rPr>
              <w:t>Initial: CAF</w:t>
            </w:r>
          </w:p>
        </w:tc>
        <w:tc>
          <w:tcPr>
            <w:tcW w:w="1400" w:type="dxa"/>
            <w:vAlign w:val="bottom"/>
          </w:tcPr>
          <w:p>
            <w:pPr>
              <w:ind w:left="180"/>
              <w:spacing w:after="0"/>
              <w:rPr>
                <w:sz w:val="20"/>
                <w:szCs w:val="20"/>
                <w:color w:val="auto"/>
              </w:rPr>
            </w:pPr>
            <w:r>
              <w:rPr>
                <w:rFonts w:ascii="Arial" w:cs="Arial" w:eastAsia="Arial" w:hAnsi="Arial"/>
                <w:sz w:val="18"/>
                <w:szCs w:val="18"/>
                <w:color w:val="auto"/>
              </w:rPr>
              <w:t>Date: 5/8/12</w:t>
            </w:r>
          </w:p>
        </w:tc>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tcPr>
          <w:p>
            <w:pPr>
              <w:ind w:left="3800"/>
              <w:spacing w:after="0"/>
              <w:rPr>
                <w:sz w:val="20"/>
                <w:szCs w:val="20"/>
                <w:color w:val="auto"/>
              </w:rPr>
            </w:pPr>
            <w:r>
              <w:rPr>
                <w:rFonts w:ascii="Arial" w:cs="Arial" w:eastAsia="Arial" w:hAnsi="Arial"/>
                <w:sz w:val="18"/>
                <w:szCs w:val="18"/>
                <w:color w:val="auto"/>
                <w:w w:val="85"/>
              </w:rPr>
              <w:t>Page 12 of 15</w:t>
            </w:r>
          </w:p>
        </w:tc>
      </w:tr>
    </w:tbl>
    <w:p>
      <w:pPr>
        <w:sectPr>
          <w:pgSz w:w="11900" w:h="16838" w:orient="portrait"/>
          <w:cols w:equalWidth="0" w:num="1">
            <w:col w:w="11420"/>
          </w:cols>
          <w:pgMar w:left="240" w:top="280" w:right="2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20" w:type="dxa"/>
            <w:vAlign w:val="bottom"/>
            <w:gridSpan w:val="7"/>
          </w:tcPr>
          <w:p>
            <w:pPr>
              <w:spacing w:after="0"/>
              <w:rPr>
                <w:sz w:val="20"/>
                <w:szCs w:val="20"/>
                <w:color w:val="auto"/>
              </w:rPr>
            </w:pPr>
            <w:r>
              <w:rPr>
                <w:rFonts w:ascii="Arial" w:cs="Arial" w:eastAsia="Arial" w:hAnsi="Arial"/>
                <w:sz w:val="18"/>
                <w:szCs w:val="18"/>
                <w:color w:val="auto"/>
              </w:rPr>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220" w:type="dxa"/>
            <w:vAlign w:val="bottom"/>
            <w:gridSpan w:val="7"/>
          </w:tcPr>
          <w:p>
            <w:pPr>
              <w:spacing w:after="0"/>
              <w:rPr>
                <w:sz w:val="20"/>
                <w:szCs w:val="20"/>
                <w:color w:val="auto"/>
              </w:rPr>
            </w:pPr>
            <w:r>
              <w:rPr>
                <w:rFonts w:ascii="Arial" w:cs="Arial" w:eastAsia="Arial" w:hAnsi="Arial"/>
                <w:sz w:val="18"/>
                <w:szCs w:val="18"/>
                <w:color w:val="auto"/>
              </w:rPr>
              <w:t>Petaluma CA 94952</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w w:val="91"/>
              </w:rPr>
              <w:t>t: 707-763-4784</w:t>
            </w:r>
          </w:p>
        </w:tc>
        <w:tc>
          <w:tcPr>
            <w:tcW w:w="2040" w:type="dxa"/>
            <w:vAlign w:val="bottom"/>
            <w:gridSpan w:val="5"/>
          </w:tcPr>
          <w:p>
            <w:pPr>
              <w:ind w:left="60"/>
              <w:spacing w:after="0"/>
              <w:rPr>
                <w:sz w:val="20"/>
                <w:szCs w:val="20"/>
                <w:color w:val="auto"/>
              </w:rPr>
            </w:pPr>
            <w:r>
              <w:rPr>
                <w:rFonts w:ascii="Arial" w:cs="Arial" w:eastAsia="Arial" w:hAnsi="Arial"/>
                <w:sz w:val="18"/>
                <w:szCs w:val="18"/>
                <w:color w:val="auto"/>
              </w:rPr>
              <w:t>| f: 707-763-1816</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3220" w:type="dxa"/>
            <w:vAlign w:val="bottom"/>
            <w:gridSpan w:val="7"/>
          </w:tcPr>
          <w:p>
            <w:pPr>
              <w:spacing w:after="0"/>
              <w:rPr>
                <w:sz w:val="20"/>
                <w:szCs w:val="20"/>
                <w:color w:val="auto"/>
              </w:rPr>
            </w:pPr>
            <w:r>
              <w:rPr>
                <w:rFonts w:ascii="Arial" w:cs="Arial" w:eastAsia="Arial" w:hAnsi="Arial"/>
                <w:sz w:val="18"/>
                <w:szCs w:val="18"/>
                <w:color w:val="auto"/>
              </w:rPr>
              <w:t>www.enphase.com</w:t>
            </w: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40"/>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EXHIBIT A</w:t>
            </w: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4"/>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20" w:type="dxa"/>
            <w:vAlign w:val="bottom"/>
            <w:gridSpan w:val="5"/>
          </w:tcPr>
          <w:p>
            <w:pPr>
              <w:jc w:val="center"/>
              <w:ind w:right="2000"/>
              <w:spacing w:after="0"/>
              <w:rPr>
                <w:sz w:val="20"/>
                <w:szCs w:val="20"/>
                <w:color w:val="auto"/>
              </w:rPr>
            </w:pPr>
            <w:r>
              <w:rPr>
                <w:rFonts w:ascii="Arial" w:cs="Arial" w:eastAsia="Arial" w:hAnsi="Arial"/>
                <w:sz w:val="18"/>
                <w:szCs w:val="18"/>
                <w:b w:val="1"/>
                <w:bCs w:val="1"/>
                <w:color w:val="auto"/>
                <w:w w:val="99"/>
              </w:rPr>
              <w:t>LIST OF PRIOR INVENTIONS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8"/>
              </w:rPr>
              <w:t>AND ORIGINAL WORKS OF AUTHORSHIP</w:t>
            </w: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42"/>
        </w:trPr>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Identifying Number</w:t>
            </w:r>
          </w:p>
        </w:tc>
      </w:tr>
      <w:tr>
        <w:trPr>
          <w:trHeight w:val="166"/>
        </w:trPr>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0"/>
              </w:rPr>
              <w:t>Title</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81"/>
              </w:rPr>
              <w:t>Date</w:t>
            </w:r>
          </w:p>
        </w:tc>
        <w:tc>
          <w:tcPr>
            <w:tcW w:w="3040" w:type="dxa"/>
            <w:vAlign w:val="bottom"/>
            <w:gridSpan w:val="2"/>
          </w:tcPr>
          <w:p>
            <w:pPr>
              <w:spacing w:after="0"/>
              <w:rPr>
                <w:sz w:val="14"/>
                <w:szCs w:val="14"/>
                <w:color w:val="auto"/>
              </w:rPr>
            </w:pPr>
          </w:p>
        </w:tc>
        <w:tc>
          <w:tcPr>
            <w:tcW w:w="116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w w:val="92"/>
              </w:rPr>
              <w:t>or Brief Description</w:t>
            </w:r>
          </w:p>
        </w:tc>
        <w:tc>
          <w:tcPr>
            <w:tcW w:w="1240" w:type="dxa"/>
            <w:vAlign w:val="bottom"/>
          </w:tcPr>
          <w:p>
            <w:pPr>
              <w:spacing w:after="0"/>
              <w:rPr>
                <w:sz w:val="14"/>
                <w:szCs w:val="14"/>
                <w:color w:val="auto"/>
              </w:rPr>
            </w:pPr>
          </w:p>
        </w:tc>
      </w:tr>
      <w:tr>
        <w:trPr>
          <w:trHeight w:val="849"/>
        </w:trPr>
        <w:tc>
          <w:tcPr>
            <w:tcW w:w="3220" w:type="dxa"/>
            <w:vAlign w:val="bottom"/>
            <w:gridSpan w:val="7"/>
          </w:tcPr>
          <w:p>
            <w:pPr>
              <w:ind w:left="220"/>
              <w:spacing w:after="0"/>
              <w:rPr>
                <w:sz w:val="20"/>
                <w:szCs w:val="20"/>
                <w:color w:val="auto"/>
              </w:rPr>
            </w:pPr>
            <w:r>
              <w:rPr>
                <w:rFonts w:ascii="Arial" w:cs="Arial" w:eastAsia="Arial" w:hAnsi="Arial"/>
                <w:sz w:val="18"/>
                <w:szCs w:val="18"/>
                <w:color w:val="auto"/>
              </w:rPr>
              <w:t>No inventions or improvements</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3220" w:type="dxa"/>
            <w:vAlign w:val="bottom"/>
            <w:gridSpan w:val="7"/>
          </w:tcPr>
          <w:p>
            <w:pPr>
              <w:ind w:left="220"/>
              <w:spacing w:after="0"/>
              <w:rPr>
                <w:sz w:val="20"/>
                <w:szCs w:val="20"/>
                <w:color w:val="auto"/>
              </w:rPr>
            </w:pPr>
            <w:r>
              <w:rPr>
                <w:rFonts w:ascii="Arial" w:cs="Arial" w:eastAsia="Arial" w:hAnsi="Arial"/>
                <w:sz w:val="18"/>
                <w:szCs w:val="18"/>
                <w:color w:val="auto"/>
              </w:rPr>
              <w:t>Additional Sheets Attached</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0"/>
        </w:trPr>
        <w:tc>
          <w:tcPr>
            <w:tcW w:w="1720" w:type="dxa"/>
            <w:vAlign w:val="bottom"/>
            <w:gridSpan w:val="4"/>
          </w:tcPr>
          <w:p>
            <w:pPr>
              <w:spacing w:after="0"/>
              <w:rPr>
                <w:sz w:val="20"/>
                <w:szCs w:val="20"/>
                <w:color w:val="auto"/>
              </w:rPr>
            </w:pPr>
            <w:r>
              <w:rPr>
                <w:rFonts w:ascii="Arial" w:cs="Arial" w:eastAsia="Arial" w:hAnsi="Arial"/>
                <w:sz w:val="18"/>
                <w:szCs w:val="18"/>
                <w:color w:val="auto"/>
                <w:w w:val="90"/>
              </w:rPr>
              <w:t>Signature of Employee:</w:t>
            </w:r>
          </w:p>
        </w:tc>
        <w:tc>
          <w:tcPr>
            <w:tcW w:w="150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7"/>
        </w:trPr>
        <w:tc>
          <w:tcPr>
            <w:tcW w:w="3220" w:type="dxa"/>
            <w:vAlign w:val="bottom"/>
            <w:gridSpan w:val="7"/>
          </w:tcPr>
          <w:p>
            <w:pPr>
              <w:spacing w:after="0"/>
              <w:rPr>
                <w:sz w:val="20"/>
                <w:szCs w:val="20"/>
                <w:color w:val="auto"/>
              </w:rPr>
            </w:pPr>
            <w:r>
              <w:rPr>
                <w:rFonts w:ascii="Arial" w:cs="Arial" w:eastAsia="Arial" w:hAnsi="Arial"/>
                <w:sz w:val="18"/>
                <w:szCs w:val="18"/>
                <w:color w:val="auto"/>
              </w:rPr>
              <w:t>Name of Employee: Ciaran Fox</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0"/>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3"/>
        </w:trPr>
        <w:tc>
          <w:tcPr>
            <w:tcW w:w="1180" w:type="dxa"/>
            <w:vAlign w:val="bottom"/>
            <w:gridSpan w:val="2"/>
          </w:tcPr>
          <w:p>
            <w:pPr>
              <w:spacing w:after="0"/>
              <w:rPr>
                <w:sz w:val="20"/>
                <w:szCs w:val="20"/>
                <w:color w:val="auto"/>
              </w:rPr>
            </w:pPr>
            <w:r>
              <w:rPr>
                <w:rFonts w:ascii="Arial" w:cs="Arial" w:eastAsia="Arial" w:hAnsi="Arial"/>
                <w:sz w:val="18"/>
                <w:szCs w:val="18"/>
                <w:color w:val="auto"/>
              </w:rPr>
              <w:t>Initial: CAF</w:t>
            </w:r>
          </w:p>
        </w:tc>
        <w:tc>
          <w:tcPr>
            <w:tcW w:w="2040" w:type="dxa"/>
            <w:vAlign w:val="bottom"/>
            <w:gridSpan w:val="5"/>
          </w:tcPr>
          <w:p>
            <w:pPr>
              <w:ind w:left="40"/>
              <w:spacing w:after="0"/>
              <w:rPr>
                <w:sz w:val="20"/>
                <w:szCs w:val="20"/>
                <w:color w:val="auto"/>
              </w:rPr>
            </w:pPr>
            <w:r>
              <w:rPr>
                <w:rFonts w:ascii="Arial" w:cs="Arial" w:eastAsia="Arial" w:hAnsi="Arial"/>
                <w:sz w:val="18"/>
                <w:szCs w:val="18"/>
                <w:color w:val="auto"/>
              </w:rPr>
              <w:t>Date: 5/8/12</w:t>
            </w: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w w:val="85"/>
              </w:rPr>
              <w:t>Page 13 of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-3085465</wp:posOffset>
            </wp:positionV>
            <wp:extent cx="1500505" cy="411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164" w:lineRule="exact"/>
        <w:rPr>
          <w:sz w:val="20"/>
          <w:szCs w:val="20"/>
          <w:color w:val="auto"/>
        </w:rPr>
      </w:pPr>
    </w:p>
    <w:p>
      <w:pPr>
        <w:spacing w:after="0"/>
        <w:tabs>
          <w:tab w:leader="none" w:pos="1200" w:val="left"/>
          <w:tab w:leader="none" w:pos="104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14 of 15</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201 1</w:t>
      </w:r>
      <w:r>
        <w:rPr>
          <w:rFonts w:ascii="Arial" w:cs="Arial" w:eastAsia="Arial" w:hAnsi="Arial"/>
          <w:sz w:val="11"/>
          <w:szCs w:val="11"/>
          <w:color w:val="auto"/>
        </w:rPr>
        <w:t>st</w:t>
      </w:r>
      <w:r>
        <w:rPr>
          <w:rFonts w:ascii="Arial" w:cs="Arial" w:eastAsia="Arial" w:hAnsi="Arial"/>
          <w:sz w:val="18"/>
          <w:szCs w:val="18"/>
          <w:color w:val="auto"/>
        </w:rPr>
        <w:t xml:space="preserve"> Street, Suite 111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Petaluma CA 94952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-120650</wp:posOffset>
            </wp:positionV>
            <wp:extent cx="1500505" cy="411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00505" cy="411480"/>
                    </a:xfrm>
                    <a:prstGeom prst="rect">
                      <a:avLst/>
                    </a:prstGeom>
                    <a:noFill/>
                  </pic:spPr>
                </pic:pic>
              </a:graphicData>
            </a:graphic>
          </wp:anchor>
        </w:drawing>
      </w:r>
    </w:p>
    <w:p>
      <w:pPr>
        <w:ind w:right="8920" w:firstLine="8"/>
        <w:spacing w:after="0" w:line="261" w:lineRule="auto"/>
        <w:tabs>
          <w:tab w:leader="none" w:pos="1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707-763-4784 | f: 707-763-1816 www.enphase.com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Certification</w:t>
      </w:r>
    </w:p>
    <w:p>
      <w:pPr>
        <w:spacing w:after="0" w:line="17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This is to certify that I do not have in my possession, nor have I failed to return, any devices, records, data, notes, reports, proposals, lists, correspondence, specifications, drawings, blueprints, sketches, materials, equipment, other documents or property, or reproductions of any aforementioned items belonging to Enphase Energy, Inc., its subsidiaries, affiliates, successors or assigns (together, the “Company”).</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 further certify that I have complied with all the terms of my employment and the Company’s Employee Invention Assignment and Confidentiality Agreement signed by me, including the recording of any inventions, original works of authorship, or other Intellectual Property (as defined therein), conceived or made by me (solely or jointly with others) covered by that agreement.</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 further agree that, in compliance with the Employee Invention Assignment and Confidentiality Agreement, I will preserve as confidential all trade secrets, confidential knowledge, data or other proprietary information relating to products, process, know-how, designs, formulas, developmental or experimental work, computer programs, data bases, other original works of authorship, customer lists, business plans, financial information or other subject matter pertaining to any business of the Company or any of its employees, clients, consultants or licensees.</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 further agree that, in compliance with the Employee Invention Assignment and Confidentiality Agreement, I will abide by the Covenants Not To Solicit (as set forth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 /s/ Ciaran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1161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 Ciaran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-13970</wp:posOffset>
            </wp:positionV>
            <wp:extent cx="2012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12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5/8/12</w:t>
      </w:r>
    </w:p>
    <w:p>
      <w:pPr>
        <w:spacing w:after="0" w:line="158" w:lineRule="exact"/>
        <w:rPr>
          <w:sz w:val="20"/>
          <w:szCs w:val="20"/>
          <w:color w:val="auto"/>
        </w:rPr>
      </w:pPr>
    </w:p>
    <w:p>
      <w:pPr>
        <w:spacing w:after="0"/>
        <w:tabs>
          <w:tab w:leader="none" w:pos="1200" w:val="left"/>
          <w:tab w:leader="none" w:pos="10420" w:val="left"/>
        </w:tabs>
        <w:rPr>
          <w:sz w:val="20"/>
          <w:szCs w:val="20"/>
          <w:color w:val="auto"/>
        </w:rPr>
      </w:pPr>
      <w:r>
        <w:rPr>
          <w:rFonts w:ascii="Arial" w:cs="Arial" w:eastAsia="Arial" w:hAnsi="Arial"/>
          <w:sz w:val="18"/>
          <w:szCs w:val="18"/>
          <w:color w:val="auto"/>
        </w:rPr>
        <w:t>Initial: CAF</w:t>
      </w:r>
      <w:r>
        <w:rPr>
          <w:sz w:val="20"/>
          <w:szCs w:val="20"/>
          <w:color w:val="auto"/>
        </w:rPr>
        <w:tab/>
      </w:r>
      <w:r>
        <w:rPr>
          <w:rFonts w:ascii="Arial" w:cs="Arial" w:eastAsia="Arial" w:hAnsi="Arial"/>
          <w:sz w:val="18"/>
          <w:szCs w:val="18"/>
          <w:color w:val="auto"/>
        </w:rPr>
        <w:t>Date: 5/8/12</w:t>
      </w:r>
      <w:r>
        <w:rPr>
          <w:sz w:val="20"/>
          <w:szCs w:val="20"/>
          <w:color w:val="auto"/>
        </w:rPr>
        <w:tab/>
      </w:r>
      <w:r>
        <w:rPr>
          <w:rFonts w:ascii="Arial" w:cs="Arial" w:eastAsia="Arial" w:hAnsi="Arial"/>
          <w:sz w:val="15"/>
          <w:szCs w:val="15"/>
          <w:color w:val="auto"/>
        </w:rPr>
        <w:t>Page 15 of 15</w:t>
      </w:r>
    </w:p>
    <w:p>
      <w:pPr>
        <w:sectPr>
          <w:pgSz w:w="11900" w:h="16838" w:orient="portrait"/>
          <w:cols w:equalWidth="0" w:num="1">
            <w:col w:w="11420"/>
          </w:cols>
          <w:pgMar w:left="240" w:top="280" w:right="239" w:bottom="1440" w:gutter="0" w:footer="0" w:header="0"/>
        </w:sectPr>
      </w:pPr>
    </w:p>
    <w:bookmarkStart w:id="107" w:name="page108"/>
    <w:bookmarkEnd w:id="107"/>
    <w:p>
      <w:pPr>
        <w:ind w:left="10420"/>
        <w:spacing w:after="0"/>
        <w:rPr>
          <w:sz w:val="20"/>
          <w:szCs w:val="20"/>
          <w:color w:val="auto"/>
        </w:rPr>
      </w:pPr>
      <w:r>
        <w:rPr>
          <w:rFonts w:ascii="Arial" w:cs="Arial" w:eastAsia="Arial" w:hAnsi="Arial"/>
          <w:sz w:val="16"/>
          <w:szCs w:val="16"/>
          <w:b w:val="1"/>
          <w:bCs w:val="1"/>
          <w:color w:val="auto"/>
        </w:rPr>
        <w:t>Exhibit 10.46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77" w:lineRule="exact"/>
        <w:rPr>
          <w:sz w:val="20"/>
          <w:szCs w:val="20"/>
          <w:color w:val="auto"/>
        </w:rPr>
      </w:pPr>
    </w:p>
    <w:p>
      <w:pPr>
        <w:ind w:left="460"/>
        <w:spacing w:after="0"/>
        <w:tabs>
          <w:tab w:leader="none" w:pos="6920" w:val="left"/>
          <w:tab w:leader="none" w:pos="7360" w:val="left"/>
          <w:tab w:leader="none" w:pos="9520" w:val="left"/>
        </w:tabs>
        <w:rPr>
          <w:sz w:val="20"/>
          <w:szCs w:val="20"/>
          <w:color w:val="auto"/>
        </w:rPr>
      </w:pPr>
      <w:r>
        <w:rPr>
          <w:rFonts w:ascii="Arial" w:cs="Arial" w:eastAsia="Arial" w:hAnsi="Arial"/>
          <w:sz w:val="16"/>
          <w:szCs w:val="16"/>
          <w:color w:val="auto"/>
        </w:rPr>
        <w:t>This Change in Control and Severance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by and between</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and</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Enphase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This Agreement is intended to provide Executive with certain benefits described herein upon the occurrence of specific events.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It is expected that another company may from time to time consider the possibility of acquiring the Company or that a Change in Control may otherwise occur, with or without the approval of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the Executive, notwithstanding the possibility, threat or occurrence of a Change in Control (as defined below) of the Company.</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 The Company’s Board believes it is in the best interests of the Company and its shareholders to retain Executive and provide incentives to Executive to continue in the service of the Company.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 The Board further believes that it is imperative to provide Executive with certain benefits upon termination of Executive’s employment in connection with a Change in Control, which benefits are intended to provide Executive with financial security and provide sufficient income and encouragement to Executive to remain with the Company, notwithstanding the possibility of a Change in Control.</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 To accomplish the foregoing objectives, the Board has directed the Company, upon execution of this Agreement by Executive, to agree to the terms provided in this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promises, covenants and agreements contained herein, and in consideration of the continuing employment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by the Company, the parties hereto agree as follows:</w:t>
      </w:r>
    </w:p>
    <w:p>
      <w:pPr>
        <w:spacing w:after="0" w:line="159" w:lineRule="exact"/>
        <w:rPr>
          <w:sz w:val="20"/>
          <w:szCs w:val="20"/>
          <w:color w:val="auto"/>
        </w:rPr>
      </w:pPr>
    </w:p>
    <w:p>
      <w:pPr>
        <w:ind w:firstLine="464"/>
        <w:spacing w:after="0" w:line="256" w:lineRule="auto"/>
        <w:tabs>
          <w:tab w:leader="none" w:pos="63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Executive’s employment is at-will, which means that the Company may terminate Executive’s employment at any time,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advance notice, and with or without Cause. Similarly, Executive may resign Executive’s employment at any time, with or without advance notice or Good Reason. Executive shall not receive any compensation of any kind, including, without limitation, equity award vesting acceleration and severance benefits, following Executive’s last day of employment with the Company, except as expressly provided herein. Executive shall devote all reasonable efforts to the performance of Executive’s duties, and shall perform such duties in good faith.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108" w:name="page109"/>
    <w:bookmarkEnd w:id="108"/>
    <w:p>
      <w:pPr>
        <w:ind w:left="860" w:hanging="446"/>
        <w:spacing w:after="0"/>
        <w:tabs>
          <w:tab w:leader="none" w:pos="8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 Upon 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color w:val="auto"/>
        </w:rPr>
      </w:pPr>
    </w:p>
    <w:p>
      <w:pPr>
        <w:ind w:left="-40" w:right="60" w:firstLine="921"/>
        <w:spacing w:after="0" w:line="255" w:lineRule="auto"/>
        <w:tabs>
          <w:tab w:leader="none" w:pos="1122"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in connection with or following a Change in Control</w:t>
      </w:r>
      <w:r>
        <w:rPr>
          <w:rFonts w:ascii="Arial" w:cs="Arial" w:eastAsia="Arial" w:hAnsi="Arial"/>
          <w:sz w:val="18"/>
          <w:szCs w:val="18"/>
          <w:color w:val="auto"/>
        </w:rPr>
        <w:t>. If Executive’s employment is terminated without Cause (and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 Executive’s death or disability) or Executive resigns for Good Reason, in either case in connection with or within twenty four (24) months after a Change in Control, and provided such termination constitutes a “separation from service” (within the meaning of Treasury Regulation Section 1.409A-1(h), a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xml:space="preserve">”), and provided Executive signs and allows to become effective a release substantially in the form attached hereto as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r>
        <w:rPr>
          <w:rFonts w:ascii="Arial" w:cs="Arial" w:eastAsia="Arial" w:hAnsi="Arial"/>
          <w:sz w:val="18"/>
          <w:szCs w:val="18"/>
          <w:color w:val="auto"/>
        </w:rPr>
        <w:t>, 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 </w:t>
      </w:r>
      <w:r>
        <w:rPr>
          <w:rFonts w:ascii="Arial" w:cs="Arial" w:eastAsia="Arial" w:hAnsi="Arial"/>
          <w:sz w:val="18"/>
          <w:szCs w:val="18"/>
          <w:color w:val="auto"/>
        </w:rPr>
        <w:t>as applicable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time period provided therein, then the Company shall provide Executive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benefits (the “</w:t>
      </w:r>
      <w:r>
        <w:rPr>
          <w:rFonts w:ascii="Arial" w:cs="Arial" w:eastAsia="Arial" w:hAnsi="Arial"/>
          <w:sz w:val="18"/>
          <w:szCs w:val="18"/>
          <w:b w:val="1"/>
          <w:bCs w:val="1"/>
          <w:i w:val="1"/>
          <w:iCs w:val="1"/>
          <w:color w:val="auto"/>
        </w:rPr>
        <w:t>Separation Benefits</w:t>
      </w:r>
      <w:r>
        <w:rPr>
          <w:rFonts w:ascii="Arial" w:cs="Arial" w:eastAsia="Arial" w:hAnsi="Arial"/>
          <w:sz w:val="18"/>
          <w:szCs w:val="18"/>
          <w:color w:val="auto"/>
        </w:rPr>
        <w:t>”):</w:t>
      </w:r>
    </w:p>
    <w:p>
      <w:pPr>
        <w:spacing w:after="0" w:line="145" w:lineRule="exact"/>
        <w:rPr>
          <w:rFonts w:ascii="Arial" w:cs="Arial" w:eastAsia="Arial" w:hAnsi="Arial"/>
          <w:sz w:val="18"/>
          <w:szCs w:val="18"/>
          <w:b w:val="1"/>
          <w:bCs w:val="1"/>
          <w:color w:val="auto"/>
        </w:rPr>
      </w:pPr>
    </w:p>
    <w:p>
      <w:pPr>
        <w:jc w:val="both"/>
        <w:ind w:left="-40" w:right="60" w:firstLine="1492"/>
        <w:spacing w:after="0" w:line="298" w:lineRule="auto"/>
        <w:tabs>
          <w:tab w:leader="none" w:pos="1653" w:val="left"/>
        </w:tabs>
        <w:numPr>
          <w:ilvl w:val="2"/>
          <w:numId w:val="82"/>
        </w:numPr>
        <w:rPr>
          <w:rFonts w:ascii="Arial" w:cs="Arial" w:eastAsia="Arial" w:hAnsi="Arial"/>
          <w:sz w:val="16"/>
          <w:szCs w:val="16"/>
          <w:b w:val="1"/>
          <w:bCs w:val="1"/>
          <w:color w:val="auto"/>
        </w:rPr>
      </w:pPr>
      <w:r>
        <w:rPr>
          <w:rFonts w:ascii="Arial" w:cs="Arial" w:eastAsia="Arial" w:hAnsi="Arial"/>
          <w:sz w:val="16"/>
          <w:szCs w:val="16"/>
          <w:color w:val="auto"/>
        </w:rPr>
        <w:t>The Company shall pay Executive an amount equal to three (3) months of Executive’s then current base salary, ignoring any decrease in base salary that forms the basis for Good Reason, less all applicable withholdings and deductions, paid over such 3-month period (the “</w:t>
      </w:r>
      <w:r>
        <w:rPr>
          <w:rFonts w:ascii="Arial" w:cs="Arial" w:eastAsia="Arial" w:hAnsi="Arial"/>
          <w:sz w:val="16"/>
          <w:szCs w:val="16"/>
          <w:b w:val="1"/>
          <w:bCs w:val="1"/>
          <w:color w:val="auto"/>
        </w:rPr>
        <w:t>Salary Continuation</w:t>
      </w:r>
      <w:r>
        <w:rPr>
          <w:rFonts w:ascii="Arial" w:cs="Arial" w:eastAsia="Arial" w:hAnsi="Arial"/>
          <w:sz w:val="16"/>
          <w:szCs w:val="16"/>
          <w:color w:val="auto"/>
        </w:rPr>
        <w:t>”). The Salary Continuation will be paid in equal installments on the Company’s regular payroll schedule and will be subject to applicable tax withholdings over the period outlined above following the date of Executive’s Separation from Service as set forth in Section 3 below.</w:t>
      </w:r>
    </w:p>
    <w:p>
      <w:pPr>
        <w:spacing w:after="0" w:line="112" w:lineRule="exact"/>
        <w:rPr>
          <w:rFonts w:ascii="Arial" w:cs="Arial" w:eastAsia="Arial" w:hAnsi="Arial"/>
          <w:sz w:val="16"/>
          <w:szCs w:val="16"/>
          <w:b w:val="1"/>
          <w:bCs w:val="1"/>
          <w:color w:val="auto"/>
        </w:rPr>
      </w:pPr>
    </w:p>
    <w:p>
      <w:pPr>
        <w:ind w:left="-40" w:right="100" w:firstLine="1492"/>
        <w:spacing w:after="0" w:line="286" w:lineRule="auto"/>
        <w:tabs>
          <w:tab w:leader="none" w:pos="1702" w:val="left"/>
        </w:tabs>
        <w:numPr>
          <w:ilvl w:val="2"/>
          <w:numId w:val="82"/>
        </w:numPr>
        <w:rPr>
          <w:rFonts w:ascii="Arial" w:cs="Arial" w:eastAsia="Arial" w:hAnsi="Arial"/>
          <w:sz w:val="16"/>
          <w:szCs w:val="16"/>
          <w:b w:val="1"/>
          <w:bCs w:val="1"/>
          <w:color w:val="auto"/>
        </w:rPr>
      </w:pPr>
      <w:r>
        <w:rPr>
          <w:rFonts w:ascii="Arial" w:cs="Arial" w:eastAsia="Arial" w:hAnsi="Arial"/>
          <w:sz w:val="16"/>
          <w:szCs w:val="16"/>
          <w:color w:val="auto"/>
        </w:rPr>
        <w:t>Should Executive elect to continue his health insurance benefits pursuant to the Consolidated Omnibus Budget Reconciliation Act of 1985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and any analogous provisions of applicable state law, the Company shall pay Executive’s COBRA group health insurance premiums for Executive and his eligible dependents for a period of three (3) months following the effective date of such termination of employment described in Section 2(a)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References to COBRA premiums shall not include any amounts payable by Executive under an Internal Revenue Code Section 125 health care reimbursement plan. Notwithstanding the foregoing, if the Company determines, in its sole discretion, that the Company cannot provide the COBRA premium benefits without potentially incurring financial costs or penalties under applicable law (including, without limitation, Section 2716 of the Public Health Service Act), the Company shall in lieu thereof pay Executive a taxable cash amount, which payment shall be made regardless of whether Executive or Executive’s eligible family members elect health care continuation coverage (the “</w:t>
      </w:r>
      <w:r>
        <w:rPr>
          <w:rFonts w:ascii="Arial" w:cs="Arial" w:eastAsia="Arial" w:hAnsi="Arial"/>
          <w:sz w:val="16"/>
          <w:szCs w:val="16"/>
          <w:b w:val="1"/>
          <w:bCs w:val="1"/>
          <w:i w:val="1"/>
          <w:iCs w:val="1"/>
          <w:color w:val="auto"/>
        </w:rPr>
        <w:t>Health Care Benefit Payment</w:t>
      </w:r>
      <w:r>
        <w:rPr>
          <w:rFonts w:ascii="Arial" w:cs="Arial" w:eastAsia="Arial" w:hAnsi="Arial"/>
          <w:sz w:val="16"/>
          <w:szCs w:val="16"/>
          <w:color w:val="auto"/>
        </w:rPr>
        <w:t>”). The Health Care Benefit Payment shall be paid in monthly installments on the same schedule that the COBRA Premiums would otherwise have been paid to the insurer. The Health Care Benefit Payment shall be equal to the amount that the Company would have otherwise paid for COBRA insurance premiums (which amount shall be calculated based on the premium for the first month of coverage), and shall be paid until the expiration of the COBRA Payment Period.</w:t>
      </w:r>
    </w:p>
    <w:p>
      <w:pPr>
        <w:spacing w:after="0" w:line="127" w:lineRule="exact"/>
        <w:rPr>
          <w:rFonts w:ascii="Arial" w:cs="Arial" w:eastAsia="Arial" w:hAnsi="Arial"/>
          <w:sz w:val="16"/>
          <w:szCs w:val="16"/>
          <w:b w:val="1"/>
          <w:bCs w:val="1"/>
          <w:color w:val="auto"/>
        </w:rPr>
      </w:pPr>
    </w:p>
    <w:p>
      <w:pPr>
        <w:ind w:left="-40" w:firstLine="1492"/>
        <w:spacing w:after="0" w:line="332" w:lineRule="auto"/>
        <w:tabs>
          <w:tab w:leader="none" w:pos="1751" w:val="left"/>
        </w:tabs>
        <w:numPr>
          <w:ilvl w:val="2"/>
          <w:numId w:val="82"/>
        </w:numPr>
        <w:rPr>
          <w:rFonts w:ascii="Arial" w:cs="Arial" w:eastAsia="Arial" w:hAnsi="Arial"/>
          <w:sz w:val="16"/>
          <w:szCs w:val="16"/>
          <w:b w:val="1"/>
          <w:bCs w:val="1"/>
          <w:color w:val="auto"/>
        </w:rPr>
      </w:pPr>
      <w:r>
        <w:rPr>
          <w:rFonts w:ascii="Arial" w:cs="Arial" w:eastAsia="Arial" w:hAnsi="Arial"/>
          <w:sz w:val="16"/>
          <w:szCs w:val="16"/>
          <w:color w:val="auto"/>
        </w:rPr>
        <w:t>The vesting and/or exercisability of any outstanding equity awards held by Executive at the time of Executive’s Separation from Service shall be accelerated as to 100% of the then unvested portions of such outstanding equity awards as of the date of Executive’s Separation from Service.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w:t>
      </w:r>
    </w:p>
    <w:p>
      <w:pPr>
        <w:sectPr>
          <w:pgSz w:w="11900" w:h="16838" w:orient="portrait"/>
          <w:cols w:equalWidth="0" w:num="1">
            <w:col w:w="11340"/>
          </w:cols>
          <w:pgMar w:left="280" w:top="274" w:right="279" w:bottom="1440" w:gutter="0" w:footer="0" w:header="0"/>
        </w:sectPr>
      </w:pPr>
    </w:p>
    <w:bookmarkStart w:id="109" w:name="page110"/>
    <w:bookmarkEnd w:id="109"/>
    <w:p>
      <w:pPr>
        <w:ind w:left="880" w:hanging="446"/>
        <w:spacing w:after="0"/>
        <w:tabs>
          <w:tab w:leader="none" w:pos="8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Limitations And Conditions On Separation Benefits</w:t>
      </w:r>
    </w:p>
    <w:p>
      <w:pPr>
        <w:spacing w:after="0" w:line="90" w:lineRule="exact"/>
        <w:rPr>
          <w:rFonts w:ascii="Arial" w:cs="Arial" w:eastAsia="Arial" w:hAnsi="Arial"/>
          <w:sz w:val="18"/>
          <w:szCs w:val="18"/>
          <w:b w:val="1"/>
          <w:bCs w:val="1"/>
          <w:color w:val="auto"/>
        </w:rPr>
      </w:pPr>
    </w:p>
    <w:p>
      <w:pPr>
        <w:ind w:left="-20" w:right="40" w:firstLine="921"/>
        <w:spacing w:after="0" w:line="286" w:lineRule="auto"/>
        <w:tabs>
          <w:tab w:leader="none" w:pos="1142"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Release Prior to Payment of Benefits</w:t>
      </w:r>
      <w:r>
        <w:rPr>
          <w:rFonts w:ascii="Arial" w:cs="Arial" w:eastAsia="Arial" w:hAnsi="Arial"/>
          <w:sz w:val="16"/>
          <w:szCs w:val="16"/>
          <w:color w:val="auto"/>
        </w:rPr>
        <w:t>. Prior to the payment of any of the Separation Benefits, Executive shall execute, and allow to become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the Release within the time frame set forth therein, but not later than sixty (60) days following Executive’s Separation from Service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Such Release shall specifically relate to all of Executive’s rights and claims in existence at the time of such execution and shall confirm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continuing obligations to the Company (including but not limited to obligations under any confidentiality and/or non-solicitation agreement with the Company). No Separation Benefits will be paid prior to the Release Effective Date. Within five (5) days following the Release Effective Date, the Company will pay Executive the Separation Benefits Executive would otherwise have received on or prior to such date but for the delay in payment related to the effectiveness of the Release, with the balance of the benefits being paid as originally scheduled. Unless a Change in Control has occurred, the Board, in its sole discretion, may modify the form of the required Release to comply with applicable law and shall determine the form of the required Release, which may be incorporated into a termination agreement or other agreement with Executive. Notwithstanding the foregoing, if the Company (or, if applicable, the successor entity thereto) determines that any of the Separation Benefits constitute “deferred compensation” under Section 409A (defined below), then, solely to the extent necessary to avoid the incurrence of the adverse personal tax consequences under Section 409A, no Separation Benefits will be paid prior to the sixtieth (60th) day following Executive’s Separation from Service. On the sixtieth (60th) day following the date of Separation from Service, the Company will pay to Executive in a lump sum the applicable Separation Benefits that Employee would otherwise have received on or prior to such date, with the balance of the Separation Benefits being paid as originally scheduled.</w:t>
      </w:r>
    </w:p>
    <w:p>
      <w:pPr>
        <w:spacing w:after="0" w:line="117" w:lineRule="exact"/>
        <w:rPr>
          <w:rFonts w:ascii="Arial" w:cs="Arial" w:eastAsia="Arial" w:hAnsi="Arial"/>
          <w:sz w:val="16"/>
          <w:szCs w:val="16"/>
          <w:b w:val="1"/>
          <w:bCs w:val="1"/>
          <w:color w:val="auto"/>
        </w:rPr>
      </w:pPr>
    </w:p>
    <w:p>
      <w:pPr>
        <w:ind w:left="-20" w:right="60" w:firstLine="921"/>
        <w:spacing w:after="0" w:line="301" w:lineRule="auto"/>
        <w:tabs>
          <w:tab w:leader="none" w:pos="1151"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Income and Employment Taxes</w:t>
      </w:r>
      <w:r>
        <w:rPr>
          <w:rFonts w:ascii="Arial" w:cs="Arial" w:eastAsia="Arial" w:hAnsi="Arial"/>
          <w:sz w:val="16"/>
          <w:szCs w:val="16"/>
          <w:color w:val="auto"/>
        </w:rPr>
        <w:t>. Executives agrees that Executive shall be responsible for any applicable taxes of any nature (including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penalties or interest that may apply to such taxes) that the Company reasonably determines apply to any payment made hereunder, that Executive’s receipt of any benefit hereunder is conditioned on Executive’s satisfaction of any applicable withholding or similar obligations that apply to such benefit, and that any cash payment owed hereunder will be reduced to satisfy any such withholding or similar obligations that may apply.</w:t>
      </w:r>
    </w:p>
    <w:p>
      <w:pPr>
        <w:spacing w:after="0" w:line="103" w:lineRule="exact"/>
        <w:rPr>
          <w:rFonts w:ascii="Arial" w:cs="Arial" w:eastAsia="Arial" w:hAnsi="Arial"/>
          <w:sz w:val="16"/>
          <w:szCs w:val="16"/>
          <w:b w:val="1"/>
          <w:bCs w:val="1"/>
          <w:color w:val="auto"/>
        </w:rPr>
      </w:pPr>
    </w:p>
    <w:p>
      <w:pPr>
        <w:ind w:left="-20" w:firstLine="921"/>
        <w:spacing w:after="0" w:line="289" w:lineRule="auto"/>
        <w:tabs>
          <w:tab w:leader="none" w:pos="1132" w:val="left"/>
        </w:tabs>
        <w:numPr>
          <w:ilvl w:val="1"/>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Section 409A</w:t>
      </w:r>
      <w:r>
        <w:rPr>
          <w:rFonts w:ascii="Arial" w:cs="Arial" w:eastAsia="Arial" w:hAnsi="Arial"/>
          <w:sz w:val="16"/>
          <w:szCs w:val="16"/>
          <w:color w:val="auto"/>
        </w:rPr>
        <w:t>. It is intended that each installment of the payments and benefits provided for in this Agreement is a separate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purposes of Treasury Regulation Section 1.409A-2(b)(2)(i). For the avoidance of doubt, it is intended that payments of the amounts set forth in this Agreement satisfy, to the greatest 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of the Code,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However, if the Company (or, if applicable, the successor entity thereto) determines that the severance payments and benefits provided under this Agreement (the “</w:t>
      </w:r>
      <w:r>
        <w:rPr>
          <w:rFonts w:ascii="Arial" w:cs="Arial" w:eastAsia="Arial" w:hAnsi="Arial"/>
          <w:sz w:val="16"/>
          <w:szCs w:val="16"/>
          <w:b w:val="1"/>
          <w:bCs w:val="1"/>
          <w:i w:val="1"/>
          <w:iCs w:val="1"/>
          <w:color w:val="auto"/>
        </w:rPr>
        <w:t>Agreement Payments</w:t>
      </w:r>
      <w:r>
        <w:rPr>
          <w:rFonts w:ascii="Arial" w:cs="Arial" w:eastAsia="Arial" w:hAnsi="Arial"/>
          <w:sz w:val="16"/>
          <w:szCs w:val="16"/>
          <w:color w:val="auto"/>
        </w:rPr>
        <w:t>”) constitute “deferred compensation” under Section 409A and Executive is, on the date of his Separation from Service, a “specified Executive” of the Company or any successor entity thereto, as such term is defined in Section 409A(a)(2)(B)(i) of the Code (a “</w:t>
      </w:r>
      <w:r>
        <w:rPr>
          <w:rFonts w:ascii="Arial" w:cs="Arial" w:eastAsia="Arial" w:hAnsi="Arial"/>
          <w:sz w:val="16"/>
          <w:szCs w:val="16"/>
          <w:b w:val="1"/>
          <w:bCs w:val="1"/>
          <w:i w:val="1"/>
          <w:iCs w:val="1"/>
          <w:color w:val="auto"/>
        </w:rPr>
        <w:t>Specified Executive</w:t>
      </w:r>
      <w:r>
        <w:rPr>
          <w:rFonts w:ascii="Arial" w:cs="Arial" w:eastAsia="Arial" w:hAnsi="Arial"/>
          <w:sz w:val="16"/>
          <w:szCs w:val="16"/>
          <w:color w:val="auto"/>
        </w:rPr>
        <w:t>”), then, solely to the extent necessary to avoid the incurrence of the adverse personal tax consequences under Section 409A, the timing of the Separation Benefit described in Section 2(a)(i) shall be delayed as follows: on the earlier to occur of (i) the date that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w:t>
      </w:r>
    </w:p>
    <w:p>
      <w:pPr>
        <w:sectPr>
          <w:pgSz w:w="11900" w:h="16838" w:orient="portrait"/>
          <w:cols w:equalWidth="0" w:num="1">
            <w:col w:w="11380"/>
          </w:cols>
          <w:pgMar w:left="260" w:top="274" w:right="259" w:bottom="1440" w:gutter="0" w:footer="0" w:header="0"/>
        </w:sectPr>
      </w:pPr>
    </w:p>
    <w:bookmarkStart w:id="110" w:name="page111"/>
    <w:bookmarkEnd w:id="11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six months and one day after Executive’s Separation from Service or (ii) the date of Executive’s death (such earlier date, the “</w:t>
      </w:r>
      <w:r>
        <w:rPr>
          <w:rFonts w:ascii="Arial" w:cs="Arial" w:eastAsia="Arial" w:hAnsi="Arial"/>
          <w:sz w:val="18"/>
          <w:szCs w:val="18"/>
          <w:b w:val="1"/>
          <w:bCs w:val="1"/>
          <w:i w:val="1"/>
          <w:iCs w:val="1"/>
          <w:color w:val="auto"/>
        </w:rPr>
        <w:t>Delayed Initial Payment Date</w:t>
      </w:r>
      <w:r>
        <w:rPr>
          <w:rFonts w:ascii="Arial" w:cs="Arial" w:eastAsia="Arial" w:hAnsi="Arial"/>
          <w:sz w:val="18"/>
          <w:szCs w:val="18"/>
          <w:color w:val="auto"/>
        </w:rPr>
        <w:t>”), the Company (or the successor entity thereto, as applicable) shall pay to Executive a lump sum amount equal to the applicable benefit that Executive would otherwise have received through the Delayed Initial Payment Date if the commencement of the payment of the benefit had not been so delayed pursuant to this Section 3(c).</w:t>
      </w:r>
    </w:p>
    <w:p>
      <w:pPr>
        <w:spacing w:after="0" w:line="137" w:lineRule="exact"/>
        <w:rPr>
          <w:sz w:val="20"/>
          <w:szCs w:val="20"/>
          <w:color w:val="auto"/>
        </w:rPr>
      </w:pPr>
    </w:p>
    <w:p>
      <w:pPr>
        <w:ind w:firstLine="921"/>
        <w:spacing w:after="0" w:line="258" w:lineRule="auto"/>
        <w:tabs>
          <w:tab w:leader="none" w:pos="1171"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Executive represents that his performance of all the terms of this Agreement will not breach any other agreement to which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is a party. Executive has not, and will not during the term of this Agreement, enter into any oral or written agreement in conflict with any of the provisions of this Agreement. Executive further represents that Executive is entering into or has entered into an employment relationship with the Company of his own free will and that Executive has not been solicited as an employee in any way by the Company.</w:t>
      </w:r>
    </w:p>
    <w:p>
      <w:pPr>
        <w:spacing w:after="0" w:line="136" w:lineRule="exact"/>
        <w:rPr>
          <w:rFonts w:ascii="Arial" w:cs="Arial" w:eastAsia="Arial" w:hAnsi="Arial"/>
          <w:sz w:val="18"/>
          <w:szCs w:val="18"/>
          <w:b w:val="1"/>
          <w:bCs w:val="1"/>
          <w:color w:val="auto"/>
        </w:rPr>
      </w:pPr>
    </w:p>
    <w:p>
      <w:pPr>
        <w:ind w:right="80" w:firstLine="921"/>
        <w:spacing w:after="0" w:line="296" w:lineRule="auto"/>
        <w:tabs>
          <w:tab w:leader="none" w:pos="1152" w:val="left"/>
        </w:tabs>
        <w:numPr>
          <w:ilvl w:val="2"/>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r>
        <w:rPr>
          <w:rFonts w:ascii="Arial" w:cs="Arial" w:eastAsia="Arial" w:hAnsi="Arial"/>
          <w:sz w:val="16"/>
          <w:szCs w:val="16"/>
          <w:color w:val="auto"/>
        </w:rPr>
        <w:t>. Any successor to the Company (whether direct or indirect and whether by purchase, lease, merger, consolidation, liquidation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The terms of this Agreement and all of Executive’s rights hereunder and thereunder shall inure to the benefit of, and be enforceable by, Executive’s personal or legal representatives, executors, administrators, successors, heirs, distributees, devisees and legatees.</w:t>
      </w:r>
    </w:p>
    <w:p>
      <w:pPr>
        <w:spacing w:after="0" w:line="107" w:lineRule="exact"/>
        <w:rPr>
          <w:rFonts w:ascii="Arial" w:cs="Arial" w:eastAsia="Arial" w:hAnsi="Arial"/>
          <w:sz w:val="16"/>
          <w:szCs w:val="16"/>
          <w:b w:val="1"/>
          <w:bCs w:val="1"/>
          <w:color w:val="auto"/>
        </w:rPr>
      </w:pPr>
    </w:p>
    <w:p>
      <w:pPr>
        <w:ind w:right="60" w:firstLine="921"/>
        <w:spacing w:after="0" w:line="301" w:lineRule="auto"/>
        <w:tabs>
          <w:tab w:leader="none" w:pos="1132" w:val="left"/>
        </w:tabs>
        <w:numPr>
          <w:ilvl w:val="2"/>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Notices and all other communications contemplated by this Agreement shall be in writing and shall be deemed to have been duly given</w:t>
      </w:r>
      <w:r>
        <w:rPr>
          <w:rFonts w:ascii="Arial" w:cs="Arial" w:eastAsia="Arial" w:hAnsi="Arial"/>
          <w:sz w:val="16"/>
          <w:szCs w:val="16"/>
          <w:b w:val="1"/>
          <w:bCs w:val="1"/>
          <w:color w:val="auto"/>
        </w:rPr>
        <w:t xml:space="preserve"> </w:t>
      </w:r>
      <w:r>
        <w:rPr>
          <w:rFonts w:ascii="Arial" w:cs="Arial" w:eastAsia="Arial" w:hAnsi="Arial"/>
          <w:sz w:val="16"/>
          <w:szCs w:val="16"/>
          <w:color w:val="auto"/>
        </w:rPr>
        <w:t>when personally delivered or when mailed by U.S. registered or certified mail, return receipt requested and postage prepaid. Mailed notices to Executive shall be addressed to Executive at the home address which Executive most recently communicated to the Company in writing. In the case of the Company, mailed notices shall be addressed to its corporate headquarters, and all notices shall be directed to the attention of its Chief Financial Officer.</w:t>
      </w:r>
    </w:p>
    <w:p>
      <w:pPr>
        <w:spacing w:after="0" w:line="224" w:lineRule="exact"/>
        <w:rPr>
          <w:rFonts w:ascii="Arial" w:cs="Arial" w:eastAsia="Arial" w:hAnsi="Arial"/>
          <w:sz w:val="16"/>
          <w:szCs w:val="16"/>
          <w:b w:val="1"/>
          <w:bCs w:val="1"/>
          <w:color w:val="auto"/>
        </w:rPr>
      </w:pPr>
    </w:p>
    <w:p>
      <w:pPr>
        <w:ind w:left="900" w:hanging="446"/>
        <w:spacing w:after="0"/>
        <w:tabs>
          <w:tab w:leader="none" w:pos="90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0" w:lineRule="exact"/>
        <w:rPr>
          <w:rFonts w:ascii="Arial" w:cs="Arial" w:eastAsia="Arial" w:hAnsi="Arial"/>
          <w:sz w:val="18"/>
          <w:szCs w:val="18"/>
          <w:b w:val="1"/>
          <w:bCs w:val="1"/>
          <w:color w:val="auto"/>
        </w:rPr>
      </w:pPr>
    </w:p>
    <w:p>
      <w:pPr>
        <w:ind w:left="1160" w:hanging="239"/>
        <w:spacing w:after="0"/>
        <w:tabs>
          <w:tab w:leader="none" w:pos="1160" w:val="left"/>
        </w:tabs>
        <w:numPr>
          <w:ilvl w:val="2"/>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Cause</w:t>
      </w:r>
      <w:r>
        <w:rPr>
          <w:rFonts w:ascii="Arial" w:cs="Arial" w:eastAsia="Arial" w:hAnsi="Arial"/>
          <w:sz w:val="16"/>
          <w:szCs w:val="16"/>
          <w:color w:val="auto"/>
        </w:rPr>
        <w:t>. For purposes of this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Cause</w:t>
      </w:r>
      <w:r>
        <w:rPr>
          <w:rFonts w:ascii="Arial" w:cs="Arial" w:eastAsia="Arial" w:hAnsi="Arial"/>
          <w:sz w:val="16"/>
          <w:szCs w:val="16"/>
          <w:b w:val="1"/>
          <w:bCs w:val="1"/>
          <w:color w:val="auto"/>
        </w:rPr>
        <w:t>”</w:t>
      </w:r>
      <w:r>
        <w:rPr>
          <w:rFonts w:ascii="Arial" w:cs="Arial" w:eastAsia="Arial" w:hAnsi="Arial"/>
          <w:sz w:val="16"/>
          <w:szCs w:val="16"/>
          <w:color w:val="auto"/>
        </w:rPr>
        <w:t>, as determined by the Board acting in good faith and based on information then known to it,</w:t>
      </w:r>
    </w:p>
    <w:p>
      <w:pPr>
        <w:spacing w:after="0" w:line="44" w:lineRule="exact"/>
        <w:rPr>
          <w:rFonts w:ascii="Arial" w:cs="Arial" w:eastAsia="Arial" w:hAnsi="Arial"/>
          <w:sz w:val="16"/>
          <w:szCs w:val="16"/>
          <w:b w:val="1"/>
          <w:bCs w:val="1"/>
          <w:color w:val="auto"/>
        </w:rPr>
      </w:pPr>
    </w:p>
    <w:p>
      <w:pPr>
        <w:ind w:right="18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means: (A) gross negligence or willful misconduct in the performance of duties to the Company where such gross negligence or willful misconduct has resulted or is likely to result in substantial and material damage to the Company or its subsidiaries; (B) a material failure to comply with the Company’s written policies after having received from the Company notice of, and a reasonable time to cure, such failure; (C) repeated unexplained or unjustified absence from the Company; (D) conviction of a felony or a crime involving moral turpitude causing material harm to the standing and reputation of the Company; or</w:t>
      </w:r>
    </w:p>
    <w:p>
      <w:pPr>
        <w:spacing w:after="0" w:line="2" w:lineRule="exact"/>
        <w:rPr>
          <w:rFonts w:ascii="Arial" w:cs="Arial" w:eastAsia="Arial" w:hAnsi="Arial"/>
          <w:sz w:val="16"/>
          <w:szCs w:val="16"/>
          <w:b w:val="1"/>
          <w:bCs w:val="1"/>
          <w:color w:val="auto"/>
        </w:rPr>
      </w:pPr>
    </w:p>
    <w:p>
      <w:pPr>
        <w:ind w:right="280" w:firstLine="8"/>
        <w:spacing w:after="0" w:line="323" w:lineRule="auto"/>
        <w:tabs>
          <w:tab w:leader="none" w:pos="268"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unauthorized use or disclosure of any proprietary information or trade secrets of the Company or any other party to whom Executive owes an obligation of non-disclosure as a result of Executive’s relationship with the Company, which use or disclosure causes or is likely to cause material harm to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111" w:name="page112"/>
    <w:bookmarkEnd w:id="111"/>
    <w:p>
      <w:pPr>
        <w:ind w:left="-20" w:right="20" w:firstLine="921"/>
        <w:spacing w:after="0" w:line="286" w:lineRule="auto"/>
        <w:tabs>
          <w:tab w:leader="none" w:pos="1151" w:val="left"/>
        </w:tabs>
        <w:numPr>
          <w:ilvl w:val="1"/>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Good Reason. </w:t>
      </w:r>
      <w:r>
        <w:rPr>
          <w:rFonts w:ascii="Arial" w:cs="Arial" w:eastAsia="Arial" w:hAnsi="Arial"/>
          <w:sz w:val="16"/>
          <w:szCs w:val="16"/>
          <w:color w:val="auto"/>
        </w:rPr>
        <w:t>For purposes of this Agreement,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for Executive’s resignation of his employment will exist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any of the following without Executive’s written consent: (A) a material reduction or change in job duties, responsibilities or authority inconsistent with Executive’s position with the Company and Executive’s prior duties, responsibilities or authority, provided, however, that any change in Executive’s position after a Change in Control shall not constitute grounds for a termination for Good Reason so long as Executive remains a member of the Company’s senior management (or becomes a member of the senior management of the surviving or acquiring entity) at the same or higher base salary as immediately prior to the Change in Control with equivalent authority and responsibility; (B) a material reduction of Executive’s then current base salary, representing a reduction of more than 10 percent (10%), provided that an across-the-board reduction in the salary level of other executives of the Company by the same percentage amount as part of a general salary level reduction shall not constitute such a material salary reduction; (C) a relocation of the principal place for performance of Executive’s duties to the Company to a location more than forty (40) miles from the Company’s then current location; or (D) any material breach by the Company of this Agreement or Executive’s Employment Agreement (as defined below); provided that Executive gives written notice to the Company of the event forming the basis of the Good Reason resignation within sixty (60) days of the date the Company gives written notice to Executive of its affirmative decision to take an action set forth in (A), (B), (C) or (D) above, the Company fails to cure such basis for the Good Reason resignation within thirty (30) days after receipt of Executive’s written notice and Executive terminates his employment within thirty (30) days following the expiration of the cure period.</w:t>
      </w:r>
    </w:p>
    <w:p>
      <w:pPr>
        <w:spacing w:after="0" w:line="120" w:lineRule="exact"/>
        <w:rPr>
          <w:rFonts w:ascii="Arial" w:cs="Arial" w:eastAsia="Arial" w:hAnsi="Arial"/>
          <w:sz w:val="16"/>
          <w:szCs w:val="16"/>
          <w:b w:val="1"/>
          <w:bCs w:val="1"/>
          <w:color w:val="auto"/>
        </w:rPr>
      </w:pPr>
    </w:p>
    <w:p>
      <w:pPr>
        <w:ind w:left="-20" w:firstLine="921"/>
        <w:spacing w:after="0" w:line="290" w:lineRule="auto"/>
        <w:tabs>
          <w:tab w:leader="none" w:pos="1132" w:val="left"/>
        </w:tabs>
        <w:numPr>
          <w:ilvl w:val="1"/>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Control</w:t>
      </w:r>
      <w:r>
        <w:rPr>
          <w:rFonts w:ascii="Arial" w:cs="Arial" w:eastAsia="Arial" w:hAnsi="Arial"/>
          <w:sz w:val="16"/>
          <w:szCs w:val="16"/>
          <w:color w:val="auto"/>
        </w:rPr>
        <w:t>. For purposes of this Agreement,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occurrence of any of the following events: (i) any sale or</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capital stock by the shareholders of the Company in one transaction or series of related transactions where more than 50% of the outstanding voting power of the Company is acquired by a person or entity or group of related persons or entities; or (ii)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(iii) the consummation of any transaction or series of related transactions that results in the sale of all or substantially all of the assets of the Company; or (iv) any “person” or “group” (as defined in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becoming the “beneficial owner” (as defined in Rule 13d-3 under the Exchange Act) directly or indirectly of securities representing more than fifty percent (50%) of the voting power of the Company then outstanding.</w:t>
      </w:r>
    </w:p>
    <w:p>
      <w:pPr>
        <w:spacing w:after="0" w:line="233" w:lineRule="exact"/>
        <w:rPr>
          <w:rFonts w:ascii="Arial" w:cs="Arial" w:eastAsia="Arial" w:hAnsi="Arial"/>
          <w:sz w:val="16"/>
          <w:szCs w:val="16"/>
          <w:b w:val="1"/>
          <w:bCs w:val="1"/>
          <w:color w:val="auto"/>
        </w:rPr>
      </w:pPr>
    </w:p>
    <w:p>
      <w:pPr>
        <w:ind w:left="880" w:hanging="446"/>
        <w:spacing w:after="0"/>
        <w:tabs>
          <w:tab w:leader="none" w:pos="8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Payments.</w:t>
      </w:r>
    </w:p>
    <w:p>
      <w:pPr>
        <w:spacing w:after="0" w:line="96" w:lineRule="exact"/>
        <w:rPr>
          <w:rFonts w:ascii="Arial" w:cs="Arial" w:eastAsia="Arial" w:hAnsi="Arial"/>
          <w:sz w:val="18"/>
          <w:szCs w:val="18"/>
          <w:b w:val="1"/>
          <w:bCs w:val="1"/>
          <w:color w:val="auto"/>
        </w:rPr>
      </w:pPr>
    </w:p>
    <w:p>
      <w:pPr>
        <w:ind w:left="-20" w:right="80" w:firstLine="921"/>
        <w:spacing w:after="0" w:line="255" w:lineRule="auto"/>
        <w:tabs>
          <w:tab w:leader="none" w:pos="1141"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If any payment or benefit (including payments and benefits pursuant to this Agreement) that Executive would receive in connection with a Change in Control from the Company or otherwise (“</w:t>
      </w:r>
      <w:r>
        <w:rPr>
          <w:rFonts w:ascii="Arial" w:cs="Arial" w:eastAsia="Arial" w:hAnsi="Arial"/>
          <w:sz w:val="18"/>
          <w:szCs w:val="18"/>
          <w:b w:val="1"/>
          <w:bCs w:val="1"/>
          <w:i w:val="1"/>
          <w:iCs w:val="1"/>
          <w:color w:val="auto"/>
        </w:rPr>
        <w:t>Transaction 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Transaction Payment are paid to Executive, which of the following two alternative forms of payment would result in Executive’s receipt, 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w:t>
      </w:r>
    </w:p>
    <w:p>
      <w:pPr>
        <w:sectPr>
          <w:pgSz w:w="11900" w:h="16838" w:orient="portrait"/>
          <w:cols w:equalWidth="0" w:num="1">
            <w:col w:w="11380"/>
          </w:cols>
          <w:pgMar w:left="260" w:top="274" w:right="259" w:bottom="1440" w:gutter="0" w:footer="0" w:header="0"/>
        </w:sectPr>
      </w:pPr>
    </w:p>
    <w:bookmarkStart w:id="112" w:name="page113"/>
    <w:bookmarkEnd w:id="11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after-tax basis, of the greater amount of the Transaction Payment notwithstanding that all or some portion of the Transaction Payment may be subject to the Excise Tax: (1) payment in full of the entire amount of the Transaction Payment (a “</w:t>
      </w:r>
      <w:r>
        <w:rPr>
          <w:rFonts w:ascii="Arial" w:cs="Arial" w:eastAsia="Arial" w:hAnsi="Arial"/>
          <w:sz w:val="16"/>
          <w:szCs w:val="16"/>
          <w:b w:val="1"/>
          <w:bCs w:val="1"/>
          <w:i w:val="1"/>
          <w:iCs w:val="1"/>
          <w:color w:val="auto"/>
        </w:rPr>
        <w:t>Full Payment</w:t>
      </w:r>
      <w:r>
        <w:rPr>
          <w:rFonts w:ascii="Arial" w:cs="Arial" w:eastAsia="Arial" w:hAnsi="Arial"/>
          <w:sz w:val="16"/>
          <w:szCs w:val="16"/>
          <w:color w:val="auto"/>
        </w:rPr>
        <w:t>”), or (2) payment of only a part of the Transaction Payment so that Executive receives the largest payment possible without the imposition of the Excise Tax (a “</w:t>
      </w:r>
      <w:r>
        <w:rPr>
          <w:rFonts w:ascii="Arial" w:cs="Arial" w:eastAsia="Arial" w:hAnsi="Arial"/>
          <w:sz w:val="16"/>
          <w:szCs w:val="16"/>
          <w:b w:val="1"/>
          <w:bCs w:val="1"/>
          <w:i w:val="1"/>
          <w:iCs w:val="1"/>
          <w:color w:val="auto"/>
        </w:rPr>
        <w:t>Reduced Payment</w:t>
      </w:r>
      <w:r>
        <w:rPr>
          <w:rFonts w:ascii="Arial" w:cs="Arial" w:eastAsia="Arial" w:hAnsi="Arial"/>
          <w:sz w:val="16"/>
          <w:szCs w:val="16"/>
          <w:color w:val="auto"/>
        </w:rPr>
        <w:t>”) .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(x) Executive shall have no rights to any additional payments and/or benefits constituting the Transaction Payment, and (y) reduction in payments and/or benefits shall occur in the manner that results in the greatest economic benefit to Executive as determined in this paragraph. If more than one method of reduction will result in the same economic benefit, the portions of the Transaction Payment shall be reduced pro rata.</w:t>
      </w:r>
    </w:p>
    <w:p>
      <w:pPr>
        <w:spacing w:after="0" w:line="120" w:lineRule="exact"/>
        <w:rPr>
          <w:sz w:val="20"/>
          <w:szCs w:val="20"/>
          <w:color w:val="auto"/>
        </w:rPr>
      </w:pPr>
    </w:p>
    <w:p>
      <w:pPr>
        <w:ind w:right="120" w:firstLine="921"/>
        <w:spacing w:after="0" w:line="255" w:lineRule="auto"/>
        <w:tabs>
          <w:tab w:leader="none" w:pos="1171" w:val="left"/>
        </w:tabs>
        <w:numPr>
          <w:ilvl w:val="2"/>
          <w:numId w:val="89"/>
        </w:numPr>
        <w:rPr>
          <w:rFonts w:ascii="Arial" w:cs="Arial" w:eastAsia="Arial" w:hAnsi="Arial"/>
          <w:sz w:val="18"/>
          <w:szCs w:val="18"/>
          <w:b w:val="1"/>
          <w:bCs w:val="1"/>
          <w:color w:val="auto"/>
        </w:rPr>
      </w:pPr>
      <w:r>
        <w:rPr>
          <w:rFonts w:ascii="Arial" w:cs="Arial" w:eastAsia="Arial" w:hAnsi="Arial"/>
          <w:sz w:val="18"/>
          <w:szCs w:val="18"/>
          <w:color w:val="auto"/>
        </w:rPr>
        <w:t>The professional firm engaged by the Company for general tax purposes as of the day prior to the effective date of the Change in Control shall make all determinations required to be made under this Section 5. If the professional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professional firm required to be made hereunder.</w:t>
      </w:r>
    </w:p>
    <w:p>
      <w:pPr>
        <w:spacing w:after="0" w:line="142"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2"/>
          <w:numId w:val="89"/>
        </w:numPr>
        <w:rPr>
          <w:rFonts w:ascii="Arial" w:cs="Arial" w:eastAsia="Arial" w:hAnsi="Arial"/>
          <w:sz w:val="16"/>
          <w:szCs w:val="16"/>
          <w:b w:val="1"/>
          <w:bCs w:val="1"/>
          <w:color w:val="auto"/>
        </w:rPr>
      </w:pPr>
      <w:r>
        <w:rPr>
          <w:rFonts w:ascii="Arial" w:cs="Arial" w:eastAsia="Arial" w:hAnsi="Arial"/>
          <w:sz w:val="16"/>
          <w:szCs w:val="16"/>
          <w:color w:val="auto"/>
        </w:rPr>
        <w:t>The professional firm engaged to make the determinations hereunder shall provide its calculations, together with detailed supporting documentation, to the Company and Executive within fifteen (15) calendar days after the date on which Executive’s right to a Transaction Payment is triggered or such other time as reasonably requested by the Company or Executive. If the professional firm determines that no Excise Tax is payable with respect to the Transaction Payment, either before or after the application of the Reduced Amount, it shall furnish the Company and Executive with detailed supporting calculations of its determinations that no Excise Tax will be imposed with respect to such Transaction Payment. Any good faith determinations of the professional firm made hereunder shall be final, binding and conclusive upon the Company and Executive.</w:t>
      </w:r>
    </w:p>
    <w:p>
      <w:pPr>
        <w:spacing w:after="0" w:line="114" w:lineRule="exact"/>
        <w:rPr>
          <w:rFonts w:ascii="Arial" w:cs="Arial" w:eastAsia="Arial" w:hAnsi="Arial"/>
          <w:sz w:val="16"/>
          <w:szCs w:val="16"/>
          <w:b w:val="1"/>
          <w:bCs w:val="1"/>
          <w:color w:val="auto"/>
        </w:rPr>
      </w:pPr>
    </w:p>
    <w:p>
      <w:pPr>
        <w:ind w:firstLine="464"/>
        <w:spacing w:after="0" w:line="310" w:lineRule="auto"/>
        <w:tabs>
          <w:tab w:leader="none" w:pos="632" w:val="left"/>
        </w:tabs>
        <w:numPr>
          <w:ilvl w:val="1"/>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Other Employment Terms and Conditions</w:t>
      </w:r>
      <w:r>
        <w:rPr>
          <w:rFonts w:ascii="Arial" w:cs="Arial" w:eastAsia="Arial" w:hAnsi="Arial"/>
          <w:sz w:val="16"/>
          <w:szCs w:val="16"/>
          <w:color w:val="auto"/>
        </w:rPr>
        <w:t>. The employment relationship between the parties shall be governed by the general employment policies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procedures of the Company, including those relating to the protection of confidential information and assignment of inventions; provided, however, that when the terms of this Agreement differ from or are in conflict with the Company’s general employment policies or procedures, this Agreement shall control.</w:t>
      </w:r>
    </w:p>
    <w:p>
      <w:pPr>
        <w:spacing w:after="0" w:line="218" w:lineRule="exact"/>
        <w:rPr>
          <w:rFonts w:ascii="Arial" w:cs="Arial" w:eastAsia="Arial" w:hAnsi="Arial"/>
          <w:sz w:val="16"/>
          <w:szCs w:val="16"/>
          <w:b w:val="1"/>
          <w:bCs w:val="1"/>
          <w:color w:val="auto"/>
        </w:rPr>
      </w:pPr>
    </w:p>
    <w:p>
      <w:pPr>
        <w:ind w:left="900" w:hanging="446"/>
        <w:spacing w:after="0"/>
        <w:tabs>
          <w:tab w:leader="none" w:pos="9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0" w:lineRule="exact"/>
        <w:rPr>
          <w:rFonts w:ascii="Arial" w:cs="Arial" w:eastAsia="Arial" w:hAnsi="Arial"/>
          <w:sz w:val="18"/>
          <w:szCs w:val="18"/>
          <w:b w:val="1"/>
          <w:bCs w:val="1"/>
          <w:color w:val="auto"/>
        </w:rPr>
      </w:pPr>
    </w:p>
    <w:p>
      <w:pPr>
        <w:ind w:right="340" w:firstLine="921"/>
        <w:spacing w:after="0" w:line="378" w:lineRule="auto"/>
        <w:tabs>
          <w:tab w:leader="none" w:pos="1162" w:val="left"/>
        </w:tabs>
        <w:numPr>
          <w:ilvl w:val="2"/>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No Duty to Mitigate</w:t>
      </w:r>
      <w:r>
        <w:rPr>
          <w:rFonts w:ascii="Arial" w:cs="Arial" w:eastAsia="Arial" w:hAnsi="Arial"/>
          <w:sz w:val="15"/>
          <w:szCs w:val="15"/>
          <w:color w:val="auto"/>
        </w:rPr>
        <w:t>. Executive shall not be required to mitigate the amount of any payment contemplated by this Agreement (whether by</w:t>
      </w:r>
      <w:r>
        <w:rPr>
          <w:rFonts w:ascii="Arial" w:cs="Arial" w:eastAsia="Arial" w:hAnsi="Arial"/>
          <w:sz w:val="15"/>
          <w:szCs w:val="15"/>
          <w:b w:val="1"/>
          <w:bCs w:val="1"/>
          <w:color w:val="auto"/>
        </w:rPr>
        <w:t xml:space="preserve"> </w:t>
      </w:r>
      <w:r>
        <w:rPr>
          <w:rFonts w:ascii="Arial" w:cs="Arial" w:eastAsia="Arial" w:hAnsi="Arial"/>
          <w:sz w:val="15"/>
          <w:szCs w:val="15"/>
          <w:color w:val="auto"/>
        </w:rPr>
        <w:t>seeking new employment or in any other manner), nor shall any such payment be reduced by any earnings that Executive may receive from any other source.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6 .</w:t>
      </w:r>
    </w:p>
    <w:p>
      <w:pPr>
        <w:sectPr>
          <w:pgSz w:w="11900" w:h="16838" w:orient="portrait"/>
          <w:cols w:equalWidth="0" w:num="1">
            <w:col w:w="11400"/>
          </w:cols>
          <w:pgMar w:left="240" w:top="280" w:right="259" w:bottom="1440" w:gutter="0" w:footer="0" w:header="0"/>
        </w:sectPr>
      </w:pPr>
    </w:p>
    <w:bookmarkStart w:id="113" w:name="page114"/>
    <w:bookmarkEnd w:id="113"/>
    <w:p>
      <w:pPr>
        <w:ind w:right="80" w:firstLine="921"/>
        <w:spacing w:after="0" w:line="258" w:lineRule="auto"/>
        <w:tabs>
          <w:tab w:leader="none" w:pos="1171"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8"/>
          <w:szCs w:val="18"/>
          <w:color w:val="auto"/>
        </w:rPr>
        <w:t>. No provision of this Agreement shall be modified, waived or discharged unless the modification, waiver or discharge is agreed to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36" w:lineRule="exact"/>
        <w:rPr>
          <w:rFonts w:ascii="Arial" w:cs="Arial" w:eastAsia="Arial" w:hAnsi="Arial"/>
          <w:sz w:val="18"/>
          <w:szCs w:val="18"/>
          <w:b w:val="1"/>
          <w:bCs w:val="1"/>
          <w:color w:val="auto"/>
        </w:rPr>
      </w:pPr>
    </w:p>
    <w:p>
      <w:pPr>
        <w:jc w:val="both"/>
        <w:ind w:right="240" w:firstLine="921"/>
        <w:spacing w:after="0" w:line="306" w:lineRule="auto"/>
        <w:tabs>
          <w:tab w:leader="none" w:pos="1152"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Whole Agreement</w:t>
      </w:r>
      <w:r>
        <w:rPr>
          <w:rFonts w:ascii="Arial" w:cs="Arial" w:eastAsia="Arial" w:hAnsi="Arial"/>
          <w:sz w:val="15"/>
          <w:szCs w:val="15"/>
          <w:color w:val="auto"/>
        </w:rPr>
        <w:t>. No agreements, representations or understandings (whether oral or written and whether express or implied) which are not</w:t>
      </w:r>
      <w:r>
        <w:rPr>
          <w:rFonts w:ascii="Arial" w:cs="Arial" w:eastAsia="Arial" w:hAnsi="Arial"/>
          <w:sz w:val="15"/>
          <w:szCs w:val="15"/>
          <w:b w:val="1"/>
          <w:bCs w:val="1"/>
          <w:color w:val="auto"/>
        </w:rPr>
        <w:t xml:space="preserve"> </w:t>
      </w:r>
      <w:r>
        <w:rPr>
          <w:rFonts w:ascii="Arial" w:cs="Arial" w:eastAsia="Arial" w:hAnsi="Arial"/>
          <w:sz w:val="15"/>
          <w:szCs w:val="15"/>
          <w:color w:val="auto"/>
        </w:rPr>
        <w:t>expressly set forth in this Agreement have been made or entered into by either party with respect to the subject matter hereof. This Agreement supersedes any agreement (or portion thereof) concerning similar subject matter dated prior to the date of this Agreement, including but not limited to Executive’s offer letter</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with the Company dated , (the “</w:t>
      </w:r>
      <w:r>
        <w:rPr>
          <w:rFonts w:ascii="Arial" w:cs="Arial" w:eastAsia="Arial" w:hAnsi="Arial"/>
          <w:sz w:val="16"/>
          <w:szCs w:val="16"/>
          <w:b w:val="1"/>
          <w:bCs w:val="1"/>
          <w:i w:val="1"/>
          <w:iCs w:val="1"/>
          <w:color w:val="auto"/>
        </w:rPr>
        <w:t>Employment Agreement</w:t>
      </w:r>
      <w:r>
        <w:rPr>
          <w:rFonts w:ascii="Arial" w:cs="Arial" w:eastAsia="Arial" w:hAnsi="Arial"/>
          <w:sz w:val="16"/>
          <w:szCs w:val="16"/>
          <w:color w:val="auto"/>
        </w:rPr>
        <w:t>”), and by execution of this Agreement both parties agree that any such predecessor agreement (or portion thereof) shall be deemed null and void. For the avoidance of doubt, the parties agree that this Agreement does not supersede the provisions of the Employee Agreement that do not address termination or severance benefits, the provisions of any equity plan of the Company that provides for vesting acceleration benefits on the event of a Change in Control in which the successor corporation does not assume or substitute for outstanding equity awards or Executive’s Employee Invention Assignment and Confidentiality Agreement with the Company.</w:t>
      </w:r>
    </w:p>
    <w:p>
      <w:pPr>
        <w:spacing w:after="0" w:line="111" w:lineRule="exact"/>
        <w:rPr>
          <w:sz w:val="20"/>
          <w:szCs w:val="20"/>
          <w:color w:val="auto"/>
        </w:rPr>
      </w:pPr>
    </w:p>
    <w:p>
      <w:pPr>
        <w:ind w:right="500" w:firstLine="921"/>
        <w:spacing w:after="0" w:line="275" w:lineRule="auto"/>
        <w:tabs>
          <w:tab w:leader="none" w:pos="1171"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validity, interpretation, construction and performance of this Agreement shall be governed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reference to conflict of laws provisions.</w:t>
      </w:r>
    </w:p>
    <w:p>
      <w:pPr>
        <w:spacing w:after="0" w:line="119" w:lineRule="exact"/>
        <w:rPr>
          <w:rFonts w:ascii="Arial" w:cs="Arial" w:eastAsia="Arial" w:hAnsi="Arial"/>
          <w:sz w:val="18"/>
          <w:szCs w:val="18"/>
          <w:b w:val="1"/>
          <w:bCs w:val="1"/>
          <w:color w:val="auto"/>
        </w:rPr>
      </w:pPr>
    </w:p>
    <w:p>
      <w:pPr>
        <w:ind w:right="80" w:firstLine="921"/>
        <w:spacing w:after="0" w:line="296" w:lineRule="auto"/>
        <w:tabs>
          <w:tab w:leader="none" w:pos="115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term or provision of this Agreement or the application thereof to any circumstance shall, in any jurisdiction and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extent, be invalid or unenforceable, such term or provision shall be ineffective as to such jurisdiction to the extent of such invalidity or unenforceability without invalidating or rendering unenforceable the remaining terms and provisions of this Agreement or the application of such terms and provisions to circumstances other than those as to which it is held invalid or unenforceable, and a suitable and equitable term or provision shall be substituted therefor to carry out, insofar as may be valid and enforceable, the intent and purpose of the invalid or unenforceable term or provision.</w:t>
      </w:r>
    </w:p>
    <w:p>
      <w:pPr>
        <w:spacing w:after="0" w:line="107" w:lineRule="exact"/>
        <w:rPr>
          <w:rFonts w:ascii="Arial" w:cs="Arial" w:eastAsia="Arial" w:hAnsi="Arial"/>
          <w:sz w:val="16"/>
          <w:szCs w:val="16"/>
          <w:b w:val="1"/>
          <w:bCs w:val="1"/>
          <w:color w:val="auto"/>
        </w:rPr>
      </w:pPr>
    </w:p>
    <w:p>
      <w:pPr>
        <w:ind w:firstLine="921"/>
        <w:spacing w:after="0" w:line="293" w:lineRule="auto"/>
        <w:tabs>
          <w:tab w:leader="none" w:pos="1132"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Executive and the Company agree to attempt to settle any disputes arising in connection with this Agreement through good faith</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consultation. In the event that Executive and the Company are not able to resolve any such disputes within fifteen (15) days after notification in writing to the other, Executive and the Company agree that any dispute or claim arising out of or in connection with this Agreement will be finally settled by binding arbitration in Sonoma County, California in accordance with the rules of the American Arbitration Association by one arbitrator mutually agreed upon by the parties. The arbitrator will apply California law, without reference to rules of conflicts of law or rules of statutory arbitration, to the resolution of any dispute. Except as set forth in Subparagraph (e) above, the arbitrator shall not have authority to modify the terms of this Agreement. The Company shall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7 .</w:t>
      </w:r>
    </w:p>
    <w:p>
      <w:pPr>
        <w:sectPr>
          <w:pgSz w:w="11900" w:h="16838" w:orient="portrait"/>
          <w:cols w:equalWidth="0" w:num="1">
            <w:col w:w="11380"/>
          </w:cols>
          <w:pgMar w:left="240" w:top="274" w:right="279" w:bottom="1440" w:gutter="0" w:footer="0" w:header="0"/>
        </w:sectPr>
      </w:pPr>
    </w:p>
    <w:bookmarkStart w:id="114" w:name="page115"/>
    <w:bookmarkEnd w:id="11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the costs of the arbitration proceeding. Each party shall, unless otherwise determined by the arbitrator, bear its or his own attorneys’ fees and expenses, provided however that if Executive prevails in an arbitration proceeding, the Company shall reimburse Executive for his reasonable attorneys’ fees and costs. Judgment on the award rendered by the arbitrator may be entered in any court having jurisdiction thereof. Notwithstanding the foregoing, the Company and Executive may apply to any court of competent jurisdiction for preliminary or interim equitable relief, or to compel arbitration in accordance with this paragraph, without breach of this arbitration provision.</w:t>
      </w:r>
    </w:p>
    <w:p>
      <w:pPr>
        <w:spacing w:after="0" w:line="137" w:lineRule="exact"/>
        <w:rPr>
          <w:sz w:val="20"/>
          <w:szCs w:val="20"/>
          <w:color w:val="auto"/>
        </w:rPr>
      </w:pPr>
    </w:p>
    <w:p>
      <w:pPr>
        <w:ind w:left="1160" w:hanging="239"/>
        <w:spacing w:after="0"/>
        <w:tabs>
          <w:tab w:leader="none" w:pos="116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Legal Fees and Expenses</w:t>
      </w:r>
      <w:r>
        <w:rPr>
          <w:rFonts w:ascii="Arial" w:cs="Arial" w:eastAsia="Arial" w:hAnsi="Arial"/>
          <w:sz w:val="15"/>
          <w:szCs w:val="15"/>
          <w:color w:val="auto"/>
        </w:rPr>
        <w:t>. The parties shall each bear their own expenses, legal fees and other fees incurred in connection with the execution of</w:t>
      </w:r>
    </w:p>
    <w:p>
      <w:pPr>
        <w:spacing w:after="0" w:line="5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this Agreement.</w:t>
      </w:r>
    </w:p>
    <w:p>
      <w:pPr>
        <w:spacing w:after="0" w:line="158" w:lineRule="exact"/>
        <w:rPr>
          <w:rFonts w:ascii="Arial" w:cs="Arial" w:eastAsia="Arial" w:hAnsi="Arial"/>
          <w:sz w:val="15"/>
          <w:szCs w:val="15"/>
          <w:b w:val="1"/>
          <w:bCs w:val="1"/>
          <w:color w:val="auto"/>
        </w:rPr>
      </w:pPr>
    </w:p>
    <w:p>
      <w:pPr>
        <w:ind w:right="240" w:firstLine="921"/>
        <w:spacing w:after="0" w:line="262" w:lineRule="auto"/>
        <w:tabs>
          <w:tab w:leader="none" w:pos="1171"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 of Benefits</w:t>
      </w:r>
      <w:r>
        <w:rPr>
          <w:rFonts w:ascii="Arial" w:cs="Arial" w:eastAsia="Arial" w:hAnsi="Arial"/>
          <w:sz w:val="18"/>
          <w:szCs w:val="18"/>
          <w:color w:val="auto"/>
        </w:rPr>
        <w:t>. The rights of any person to payments or benefits under this Agreement shall not be made subject to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either by voluntary or involuntary assignment or by operation of law, including (without limitation) bankruptcy, garnishment, attachment or other creditor’s process, and any action in violation of this Section 7(h) shall be void.</w:t>
      </w:r>
    </w:p>
    <w:p>
      <w:pPr>
        <w:spacing w:after="0" w:line="132" w:lineRule="exact"/>
        <w:rPr>
          <w:rFonts w:ascii="Arial" w:cs="Arial" w:eastAsia="Arial" w:hAnsi="Arial"/>
          <w:sz w:val="18"/>
          <w:szCs w:val="18"/>
          <w:b w:val="1"/>
          <w:bCs w:val="1"/>
          <w:color w:val="auto"/>
        </w:rPr>
      </w:pPr>
    </w:p>
    <w:p>
      <w:pPr>
        <w:jc w:val="both"/>
        <w:ind w:right="160" w:firstLine="921"/>
        <w:spacing w:after="0" w:line="262" w:lineRule="auto"/>
        <w:tabs>
          <w:tab w:leader="none" w:pos="1123"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by Company</w:t>
      </w:r>
      <w:r>
        <w:rPr>
          <w:rFonts w:ascii="Arial" w:cs="Arial" w:eastAsia="Arial" w:hAnsi="Arial"/>
          <w:sz w:val="18"/>
          <w:szCs w:val="18"/>
          <w:color w:val="auto"/>
        </w:rPr>
        <w:t>. The Company may assign its rights under this Agreement to an affiliate, and an affiliate may assign its rights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 another affiliate of the Company or to the Company. In the case of any such assignment, the term “Company” when used in a section of this Agreement shall mean the corporation that actually employs the Executive.</w:t>
      </w:r>
    </w:p>
    <w:p>
      <w:pPr>
        <w:spacing w:after="0" w:line="132" w:lineRule="exact"/>
        <w:rPr>
          <w:rFonts w:ascii="Arial" w:cs="Arial" w:eastAsia="Arial" w:hAnsi="Arial"/>
          <w:sz w:val="18"/>
          <w:szCs w:val="18"/>
          <w:b w:val="1"/>
          <w:bCs w:val="1"/>
          <w:color w:val="auto"/>
        </w:rPr>
      </w:pPr>
    </w:p>
    <w:p>
      <w:pPr>
        <w:ind w:right="460" w:firstLine="921"/>
        <w:spacing w:after="0" w:line="275" w:lineRule="auto"/>
        <w:tabs>
          <w:tab w:leader="none" w:pos="113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Agreement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280670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860"/>
        <w:spacing w:after="0"/>
        <w:tabs>
          <w:tab w:leader="none" w:pos="8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9194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10795</wp:posOffset>
            </wp:positionV>
            <wp:extent cx="24009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276860</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525780</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-13970</wp:posOffset>
            </wp:positionV>
            <wp:extent cx="5575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ENPHASE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255270</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10795</wp:posOffset>
            </wp:positionV>
            <wp:extent cx="24009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-17780</wp:posOffset>
            </wp:positionV>
            <wp:extent cx="5575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8 .</w:t>
      </w:r>
    </w:p>
    <w:p>
      <w:pPr>
        <w:sectPr>
          <w:pgSz w:w="11900" w:h="16838" w:orient="portrait"/>
          <w:cols w:equalWidth="0" w:num="1">
            <w:col w:w="11340"/>
          </w:cols>
          <w:pgMar w:left="240" w:top="280"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Age 40 or Older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 Termination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 understand and agree completely to the terms set forth in the Enphase Energy, Inc. Change in Control and Severance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19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my Employee Invention Assignment and Confidentiality Agreement with the Company.</w:t>
      </w:r>
    </w:p>
    <w:p>
      <w:pPr>
        <w:spacing w:after="0" w:line="17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federal Employee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w:t>
      </w:r>
    </w:p>
    <w:p>
      <w:pPr>
        <w:spacing w:after="0" w:line="5" w:lineRule="exact"/>
        <w:rPr>
          <w:sz w:val="20"/>
          <w:szCs w:val="20"/>
          <w:color w:val="auto"/>
        </w:rPr>
      </w:pPr>
    </w:p>
    <w:p>
      <w:pPr>
        <w:ind w:right="40" w:firstLine="8"/>
        <w:spacing w:after="0" w:line="288"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rights or claims for indemnification I may have pursuant to any written indemnification agreement with the Company to which I am a party, the charter or bylaws of the Company, or under applicable law; or (2)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w:t>
      </w:r>
    </w:p>
    <w:p>
      <w:pPr>
        <w:sectPr>
          <w:pgSz w:w="11900" w:h="16838" w:orient="portrait"/>
          <w:cols w:equalWidth="0" w:num="1">
            <w:col w:w="11420"/>
          </w:cols>
          <w:pgMar w:left="240" w:top="2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Age 40 or Older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 Termination</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forty-five (45)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 have received with this Release all of the information required by the ADEA, including without limitation a detailed list of the job titles and ages of all Executives who were terminated in this group termination and the ages of all Executives of the Company in the same job classification or organizational unit who were not terminated, along with information on the eligibility factors used to select Executives for the group termination and any time limits applicable to this group termination program.</w:t>
      </w:r>
    </w:p>
    <w:p>
      <w:pPr>
        <w:spacing w:after="0" w:line="137"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w:t>
      </w:r>
      <w:r>
        <w:rPr>
          <w:rFonts w:ascii="Arial" w:cs="Arial" w:eastAsia="Arial" w:hAnsi="Arial"/>
          <w:sz w:val="16"/>
          <w:szCs w:val="16"/>
          <w:b w:val="1"/>
          <w:bCs w:val="1"/>
          <w:color w:val="auto"/>
        </w:rPr>
        <w:t xml:space="preserve"> </w:t>
      </w:r>
      <w:r>
        <w:rPr>
          <w:rFonts w:ascii="Arial" w:cs="Arial" w:eastAsia="Arial" w:hAnsi="Arial"/>
          <w:sz w:val="16"/>
          <w:szCs w:val="16"/>
          <w:color w:val="auto"/>
        </w:rPr>
        <w:t>of any jurisdiction of similar effect with respect to my release of any claims hereunder.</w:t>
      </w:r>
    </w:p>
    <w:p>
      <w:pPr>
        <w:spacing w:after="0" w:line="10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forty-five (45) days following the date it is provided to me, and I must not revoke it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Age 40 or Older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 Termination</w:t>
      </w:r>
    </w:p>
    <w:p>
      <w:pPr>
        <w:spacing w:after="0" w:line="19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3 .</w:t>
      </w:r>
    </w:p>
    <w:p>
      <w:pPr>
        <w:sectPr>
          <w:pgSz w:w="11900" w:h="16838" w:orient="portrait"/>
          <w:cols w:equalWidth="0" w:num="1">
            <w:col w:w="10220"/>
          </w:cols>
          <w:pgMar w:left="1440" w:top="2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Age 40 or Older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 understand and agree completely to the terms set forth in the Enphase Energy, Inc. Change in Control and Severance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19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my Employee Invention Assignment and Confidentiality Agreement with the Company.</w:t>
      </w:r>
    </w:p>
    <w:p>
      <w:pPr>
        <w:spacing w:after="0" w:line="17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w:t>
      </w:r>
    </w:p>
    <w:p>
      <w:pPr>
        <w:spacing w:after="0" w:line="5" w:lineRule="exact"/>
        <w:rPr>
          <w:sz w:val="20"/>
          <w:szCs w:val="20"/>
          <w:color w:val="auto"/>
        </w:rPr>
      </w:pPr>
    </w:p>
    <w:p>
      <w:pPr>
        <w:ind w:right="40" w:firstLine="8"/>
        <w:spacing w:after="0" w:line="288" w:lineRule="auto"/>
        <w:tabs>
          <w:tab w:leader="none" w:pos="24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rights or claims for indemnification I may have pursuant to any written indemnification agreement with the Company to which I am a party, the charter or bylaws of the Company, or under applicable law; or (2)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w:t>
      </w:r>
    </w:p>
    <w:p>
      <w:pPr>
        <w:sectPr>
          <w:pgSz w:w="11900" w:h="16838" w:orient="portrait"/>
          <w:cols w:equalWidth="0" w:num="1">
            <w:col w:w="11420"/>
          </w:cols>
          <w:pgMar w:left="240" w:top="280"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Executive Age 40 or Older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Termination</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 acknowledge that I am knowingly and voluntarily waiving and releasing any rights I may have under the ADEA. I also acknowledge that the consideration given for the Released Claims is in addition to anything of value to which I was already entitled. I further acknowledge that I have been advised by this writing, as required by the ADEA, that: (a) the Released Claims do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the Release by providing written notice to an officer of the Company; and (e) the Release will not be effective until the date upon which the revocation period has expired unexercised, which will be the eighth day after I sign this Release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112"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w:t>
      </w:r>
      <w:r>
        <w:rPr>
          <w:rFonts w:ascii="Arial" w:cs="Arial" w:eastAsia="Arial" w:hAnsi="Arial"/>
          <w:sz w:val="16"/>
          <w:szCs w:val="16"/>
          <w:b w:val="1"/>
          <w:bCs w:val="1"/>
          <w:color w:val="auto"/>
        </w:rPr>
        <w:t xml:space="preserve"> </w:t>
      </w:r>
      <w:r>
        <w:rPr>
          <w:rFonts w:ascii="Arial" w:cs="Arial" w:eastAsia="Arial" w:hAnsi="Arial"/>
          <w:sz w:val="16"/>
          <w:szCs w:val="16"/>
          <w:color w:val="auto"/>
        </w:rPr>
        <w:t>of any jurisdiction of similar effect with respect to my release of any claims hereunder.</w:t>
      </w:r>
    </w:p>
    <w:p>
      <w:pPr>
        <w:spacing w:after="0" w:line="10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twenty-one (21) days following the date it is provided to me, and I must not revoke it thereafter.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Under Age 40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and Group Termination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 understand and agree completely to the terms set forth in the Enphase Energy, Inc. Change in Control and Severance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w:t>
      </w:r>
    </w:p>
    <w:p>
      <w:pPr>
        <w:spacing w:after="0" w:line="19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 understand that this Release, together with the Agreement, constitutes the complete, final and exclusive embodiment of the entire agreement between the Company, affiliates of the Company and me with regard to the subject matter hereof. I am not relying on any promise or representation by the Company that is not expressly stated therein. Certain capitalized terms used in this Release are defined in the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confirm my obligations under my Employee Invention Assignment and Confidentiality Agreement with the Company.</w:t>
      </w:r>
    </w:p>
    <w:p>
      <w:pPr>
        <w:spacing w:after="0" w:line="17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6"/>
          <w:szCs w:val="16"/>
          <w:color w:val="auto"/>
        </w:rPr>
        <w:t>Except as otherwise set forth in this Release, I hereby generally and completely release the Company and its current and former directors, officers, Executives, shareholders, shareholders, partners, agents, attorneys, predecessors, successors, 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 known and unknown, that arise out of or are in any way related to events, acts, conduct, or omissions occurring prior to my signing this Release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(1) all claims arising out of or in any way related to my employment with the Company or its affiliates, or the termination of that employment; (2) all claims related to my compensation or benefits, including salary, bonuses, commissions, vacation pay, expense reimbursements, severance pay, fringe benefits, stock, stock options, or any other ownership interests in the Company or its affiliates;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of 1967 (as amended)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federal Executive Retirement Income Security Act of 1974 (as amended), and the California Fair Employment and Housing Act (as amended). Notwithstanding the foregoing, the following are 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w:t>
      </w:r>
    </w:p>
    <w:p>
      <w:pPr>
        <w:spacing w:after="0" w:line="5" w:lineRule="exact"/>
        <w:rPr>
          <w:sz w:val="20"/>
          <w:szCs w:val="20"/>
          <w:color w:val="auto"/>
        </w:rPr>
      </w:pPr>
    </w:p>
    <w:p>
      <w:pPr>
        <w:ind w:right="40" w:firstLine="8"/>
        <w:spacing w:after="0" w:line="288" w:lineRule="auto"/>
        <w:tabs>
          <w:tab w:leader="none" w:pos="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rights or claims for indemnification I may have pursuant to any written indemnification agreement with the Company to which I am a party, the charter or bylaws of the Company, or under applicable law; or (2) any rights which are not waivable as a matter of law. In addition, nothing in this Release prevents me from filing, cooperating with, or participating in any proceeding before the Equal Employment Opportunity Commission, the Department of Labor, the California Department of Fair Employment and Housing, or any other local, state, or federal administrative body or government agency that is authorized to enforce or administer laws related to employment, against the Company, except that I hereby waive my right to any monetary benefits in connection with any such claim, charge or proceeding. I hereby represent and warrant that, other than the Excluded Claims, I am not aware of any claims I have or might have against any of the Released Parties that are not included in the Released Claims.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w:t>
      </w:r>
    </w:p>
    <w:p>
      <w:pPr>
        <w:sectPr>
          <w:pgSz w:w="11900" w:h="16838" w:orient="portrait"/>
          <w:cols w:equalWidth="0" w:num="1">
            <w:col w:w="11420"/>
          </w:cols>
          <w:pgMar w:left="240" w:top="2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Executive Under Age 40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Individual and Group Termination</w:t>
      </w:r>
    </w:p>
    <w:p>
      <w:pPr>
        <w:spacing w:after="0" w:line="15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I acknowledge that I have read and understand Section 1542 of the California Civil Code which reads as follows: </w:t>
      </w:r>
      <w:r>
        <w:rPr>
          <w:rFonts w:ascii="Arial" w:cs="Arial" w:eastAsia="Arial" w:hAnsi="Arial"/>
          <w:sz w:val="16"/>
          <w:szCs w:val="16"/>
          <w:b w:val="1"/>
          <w:bCs w:val="1"/>
          <w:color w:val="auto"/>
        </w:rPr>
        <w:t>“A general release does not extend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16"/>
          <w:szCs w:val="16"/>
          <w:color w:val="auto"/>
        </w:rPr>
        <w:t>I hereby expressly waive and relinquish all rights and benefits under that section and any law</w:t>
      </w:r>
      <w:r>
        <w:rPr>
          <w:rFonts w:ascii="Arial" w:cs="Arial" w:eastAsia="Arial" w:hAnsi="Arial"/>
          <w:sz w:val="16"/>
          <w:szCs w:val="16"/>
          <w:b w:val="1"/>
          <w:bCs w:val="1"/>
          <w:color w:val="auto"/>
        </w:rPr>
        <w:t xml:space="preserve"> </w:t>
      </w:r>
      <w:r>
        <w:rPr>
          <w:rFonts w:ascii="Arial" w:cs="Arial" w:eastAsia="Arial" w:hAnsi="Arial"/>
          <w:sz w:val="16"/>
          <w:szCs w:val="16"/>
          <w:color w:val="auto"/>
        </w:rPr>
        <w:t>of any jurisdiction of similar effect with respect to my release of any claims hereunder.</w:t>
      </w:r>
    </w:p>
    <w:p>
      <w:pPr>
        <w:spacing w:after="0" w:line="10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 hereby represent that I have been paid all compensation owed and for all hours worked, I have received all the leave and leave benefits and protections for which I am eligible, and I have not suffered any on-the-job injury for which I have not already filed a workers’ compensation claim.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 hereby agree not to disparage the Company, or its officers, directors, Executives, shareholders or agents, in any manner likely to be harmful to its or their business, business reputation, or personal reputation;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will respond accurately and fully to any question, inquiry or request for information when required by legal process.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 acknowledge that to become effective, I must sign and return this Release to the Company so that it is received not later than fourteen (14) days following the date it is provided to me, and I must not revoke it thereafter.</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w:t>
      </w:r>
    </w:p>
    <w:p>
      <w:pPr>
        <w:sectPr>
          <w:pgSz w:w="11900" w:h="16838" w:orient="portrait"/>
          <w:cols w:equalWidth="0" w:num="1">
            <w:col w:w="11420"/>
          </w:cols>
          <w:pgMar w:left="240" w:top="2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B. Nahi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
        <w:spacing w:after="0" w:line="332" w:lineRule="auto"/>
        <w:tabs>
          <w:tab w:leader="none" w:pos="699"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20" w:firstLine="4"/>
        <w:spacing w:after="0" w:line="259" w:lineRule="auto"/>
        <w:tabs>
          <w:tab w:leader="none" w:pos="709"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40" w:firstLine="4"/>
        <w:spacing w:after="0" w:line="268" w:lineRule="auto"/>
        <w:tabs>
          <w:tab w:leader="none" w:pos="69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60" w:firstLine="4"/>
        <w:spacing w:after="0" w:line="268" w:lineRule="auto"/>
        <w:tabs>
          <w:tab w:leader="none" w:pos="709"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Kris Sennesael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07" w:lineRule="exact"/>
        <w:rPr>
          <w:sz w:val="20"/>
          <w:szCs w:val="20"/>
          <w:color w:val="auto"/>
        </w:rPr>
      </w:pPr>
    </w:p>
    <w:p>
      <w:pPr>
        <w:ind w:right="80" w:firstLine="8"/>
        <w:spacing w:after="0" w:line="268" w:lineRule="auto"/>
        <w:tabs>
          <w:tab w:leader="none" w:pos="176"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2012, to which this Certification is attached as Exhibit 32.1 (the “Periodic Report”), fully complies with the requirements of Section 13(a) or Section 15(d) of the Exchange Act; and</w:t>
      </w:r>
    </w:p>
    <w:p>
      <w:pPr>
        <w:spacing w:after="0" w:line="131" w:lineRule="exact"/>
        <w:rPr>
          <w:rFonts w:ascii="Arial" w:cs="Arial" w:eastAsia="Arial" w:hAnsi="Arial"/>
          <w:sz w:val="18"/>
          <w:szCs w:val="18"/>
          <w:b w:val="1"/>
          <w:bCs w:val="1"/>
          <w:color w:val="auto"/>
        </w:rPr>
      </w:pPr>
    </w:p>
    <w:p>
      <w:pPr>
        <w:ind w:left="180" w:hanging="172"/>
        <w:spacing w:after="0"/>
        <w:tabs>
          <w:tab w:leader="none" w:pos="18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13 day of November, 2012.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gridSpan w:val="3"/>
          </w:tcPr>
          <w:p>
            <w:pPr>
              <w:spacing w:after="0"/>
              <w:rPr>
                <w:sz w:val="20"/>
                <w:szCs w:val="20"/>
                <w:color w:val="auto"/>
              </w:rPr>
            </w:pPr>
            <w:r>
              <w:rPr>
                <w:rFonts w:ascii="Arial" w:cs="Arial" w:eastAsia="Arial" w:hAnsi="Arial"/>
                <w:sz w:val="18"/>
                <w:szCs w:val="18"/>
                <w:color w:val="auto"/>
              </w:rPr>
              <w:t>/s/ Paul B. Nahi</w:t>
            </w:r>
          </w:p>
        </w:tc>
        <w:tc>
          <w:tcPr>
            <w:tcW w:w="5460" w:type="dxa"/>
            <w:vAlign w:val="bottom"/>
          </w:tcPr>
          <w:p>
            <w:pPr>
              <w:ind w:left="100"/>
              <w:spacing w:after="0"/>
              <w:rPr>
                <w:sz w:val="20"/>
                <w:szCs w:val="20"/>
                <w:color w:val="auto"/>
              </w:rPr>
            </w:pPr>
            <w:r>
              <w:rPr>
                <w:rFonts w:ascii="Arial" w:cs="Arial" w:eastAsia="Arial" w:hAnsi="Arial"/>
                <w:sz w:val="18"/>
                <w:szCs w:val="18"/>
                <w:color w:val="auto"/>
              </w:rPr>
              <w:t>/s/ Kris Sennesael</w:t>
            </w: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Paul B. Nahi</w:t>
            </w:r>
          </w:p>
        </w:tc>
        <w:tc>
          <w:tcPr>
            <w:tcW w:w="58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Kris Sennesael</w:t>
            </w: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460" w:type="dxa"/>
            <w:vAlign w:val="bottom"/>
          </w:tcPr>
          <w:p>
            <w:pPr>
              <w:ind w:left="10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6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1."/>
      <w:numFmt w:val="decimal"/>
      <w:start w:val="1"/>
    </w:lvl>
    <w:lvl w:ilvl="1">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2"/>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2"/>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4"/>
    </w:lvl>
  </w:abstractNum>
  <w:abstractNum w:abstractNumId="29">
    <w:nsid w:val="2F305DEF"/>
    <w:multiLevelType w:val="hybridMultilevel"/>
    <w:lvl w:ilvl="0">
      <w:lvlJc w:val="left"/>
      <w:lvlText w:val="%1."/>
      <w:numFmt w:val="decimal"/>
      <w:start w:val="6"/>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Letter"/>
      <w:start w:val="9"/>
    </w:lvl>
  </w:abstractNum>
  <w:abstractNum w:abstractNumId="32">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35"/>
    </w:lvl>
  </w:abstractNum>
  <w:abstractNum w:abstractNumId="33">
    <w:nsid w:val="1F48EAA1"/>
    <w:multiLevelType w:val="hybridMultilevel"/>
    <w:lvl w:ilvl="0">
      <w:lvlJc w:val="left"/>
      <w:lvlText w:val="%1"/>
      <w:numFmt w:val="decimal"/>
      <w:start w:val="1"/>
    </w:lvl>
    <w:lvl w:ilvl="1">
      <w:lvlJc w:val="left"/>
      <w:lvlText w:val="(%2)"/>
      <w:numFmt w:val="lowerLetter"/>
      <w:start w:val="4"/>
    </w:lvl>
  </w:abstractNum>
  <w:abstractNum w:abstractNumId="34">
    <w:nsid w:val="1381823A"/>
    <w:multiLevelType w:val="hybridMultilevel"/>
    <w:lvl w:ilvl="0">
      <w:lvlJc w:val="left"/>
      <w:lvlText w:val="%1."/>
      <w:numFmt w:val="decimal"/>
      <w:start w:val="5"/>
    </w:lvl>
    <w:lvl w:ilvl="1">
      <w:lvlJc w:val="left"/>
      <w:lvlText w:val="%2"/>
      <w:numFmt w:val="lowerLetter"/>
      <w:start w:val="1"/>
    </w:lvl>
  </w:abstractNum>
  <w:abstractNum w:abstractNumId="35">
    <w:nsid w:val="5DB70AE5"/>
    <w:multiLevelType w:val="hybridMultilevel"/>
    <w:lvl w:ilvl="0">
      <w:lvlJc w:val="left"/>
      <w:lvlText w:val="%1."/>
      <w:numFmt w:val="decimal"/>
      <w:start w:val="7"/>
    </w:lvl>
  </w:abstractNum>
  <w:abstractNum w:abstractNumId="36">
    <w:nsid w:val="100F8FCA"/>
    <w:multiLevelType w:val="hybridMultilevel"/>
    <w:lvl w:ilvl="0">
      <w:lvlJc w:val="left"/>
      <w:lvlText w:val="%1."/>
      <w:numFmt w:val="decimal"/>
      <w:start w:val="12"/>
    </w:lvl>
    <w:lvl w:ilvl="1">
      <w:lvlJc w:val="left"/>
      <w:lvlText w:val="(%2)"/>
      <w:numFmt w:val="lowerLetter"/>
      <w:start w:val="1"/>
    </w:lvl>
  </w:abstractNum>
  <w:abstractNum w:abstractNumId="37">
    <w:nsid w:val="659070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38">
    <w:nsid w:val="15014ACB"/>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1"/>
    </w:lvl>
  </w:abstractNum>
  <w:abstractNum w:abstractNumId="39">
    <w:nsid w:val="5F5E7FD0"/>
    <w:multiLevelType w:val="hybridMultilevel"/>
    <w:lvl w:ilvl="0">
      <w:lvlJc w:val="left"/>
      <w:lvlText w:val="%1."/>
      <w:numFmt w:val="decimal"/>
      <w:start w:val="14"/>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
    <w:nsid w:val="42C296B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44">
    <w:nsid w:val="168E121F"/>
    <w:multiLevelType w:val="hybridMultilevel"/>
    <w:lvl w:ilvl="0">
      <w:lvlJc w:val="left"/>
      <w:lvlText w:val="(%1)"/>
      <w:numFmt w:val="lowerLetter"/>
      <w:start w:val="5"/>
    </w:lvl>
  </w:abstractNum>
  <w:abstractNum w:abstractNumId="45">
    <w:nsid w:val="1EBA5D23"/>
    <w:multiLevelType w:val="hybridMultilevel"/>
    <w:lvl w:ilvl="0">
      <w:lvlJc w:val="left"/>
      <w:lvlText w:val="%1"/>
      <w:numFmt w:val="lowerLetter"/>
      <w:start w:val="1"/>
    </w:lvl>
    <w:lvl w:ilvl="1">
      <w:lvlJc w:val="left"/>
      <w:lvlText w:val="%2."/>
      <w:numFmt w:val="decimal"/>
      <w:start w:val="3"/>
    </w:lvl>
  </w:abstractNum>
  <w:abstractNum w:abstractNumId="46">
    <w:nsid w:val="661E3F1E"/>
    <w:multiLevelType w:val="hybridMultilevel"/>
    <w:lvl w:ilvl="0">
      <w:lvlJc w:val="left"/>
      <w:lvlText w:val="(%1)"/>
      <w:numFmt w:val="lowerLetter"/>
      <w:start w:val="2"/>
    </w:lvl>
    <w:lvl w:ilvl="1">
      <w:lvlJc w:val="left"/>
      <w:lvlText w:val="%2."/>
      <w:numFmt w:val="decimal"/>
      <w:start w:val="4"/>
    </w:lvl>
  </w:abstractNum>
  <w:abstractNum w:abstractNumId="47">
    <w:nsid w:val="5DC79EA8"/>
    <w:multiLevelType w:val="hybridMultilevel"/>
    <w:lvl w:ilvl="0">
      <w:lvlJc w:val="left"/>
      <w:lvlText w:val="%1."/>
      <w:numFmt w:val="decimal"/>
      <w:start w:val="5"/>
    </w:lvl>
  </w:abstractNum>
  <w:abstractNum w:abstractNumId="48">
    <w:nsid w:val="540A471C"/>
    <w:multiLevelType w:val="hybridMultilevel"/>
    <w:lvl w:ilvl="0">
      <w:lvlJc w:val="left"/>
      <w:lvlText w:val="%1."/>
      <w:numFmt w:val="decimal"/>
      <w:start w:val="8"/>
    </w:lvl>
  </w:abstractNum>
  <w:abstractNum w:abstractNumId="49">
    <w:nsid w:val="7BD3EE7B"/>
    <w:multiLevelType w:val="hybridMultilevel"/>
    <w:lvl w:ilvl="0">
      <w:lvlJc w:val="left"/>
      <w:lvlText w:val="(%1)"/>
      <w:numFmt w:val="lowerRoman"/>
      <w:start w:val="3"/>
    </w:lvl>
  </w:abstractNum>
  <w:abstractNum w:abstractNumId="50">
    <w:nsid w:val="51D9C564"/>
    <w:multiLevelType w:val="hybridMultilevel"/>
    <w:lvl w:ilvl="0">
      <w:lvlJc w:val="left"/>
      <w:lvlText w:val="%1:"/>
      <w:numFmt w:val="lowerLetter"/>
      <w:start w:val="20"/>
    </w:lvl>
  </w:abstractNum>
  <w:abstractNum w:abstractNumId="51">
    <w:nsid w:val="613EFDC5"/>
    <w:multiLevelType w:val="hybridMultilevel"/>
    <w:lvl w:ilvl="0">
      <w:lvlJc w:val="left"/>
      <w:lvlText w:val="%1:"/>
      <w:numFmt w:val="lowerLetter"/>
      <w:start w:val="20"/>
    </w:lvl>
  </w:abstractNum>
  <w:abstractNum w:abstractNumId="52">
    <w:nsid w:val="BF72B14"/>
    <w:multiLevelType w:val="hybridMultilevel"/>
    <w:lvl w:ilvl="0">
      <w:lvlJc w:val="left"/>
      <w:lvlText w:val="%1:"/>
      <w:numFmt w:val="lowerLetter"/>
      <w:start w:val="20"/>
    </w:lvl>
  </w:abstractNum>
  <w:abstractNum w:abstractNumId="53">
    <w:nsid w:val="11447B73"/>
    <w:multiLevelType w:val="hybridMultilevel"/>
    <w:lvl w:ilvl="0">
      <w:lvlJc w:val="left"/>
      <w:lvlText w:val="%1:"/>
      <w:numFmt w:val="lowerLetter"/>
      <w:start w:val="20"/>
    </w:lvl>
  </w:abstractNum>
  <w:abstractNum w:abstractNumId="54">
    <w:nsid w:val="42963E5A"/>
    <w:multiLevelType w:val="hybridMultilevel"/>
    <w:lvl w:ilvl="0">
      <w:lvlJc w:val="left"/>
      <w:lvlText w:val="%1:"/>
      <w:numFmt w:val="lowerLetter"/>
      <w:start w:val="20"/>
    </w:lvl>
  </w:abstractNum>
  <w:abstractNum w:abstractNumId="55">
    <w:nsid w:val="A0382C5"/>
    <w:multiLevelType w:val="hybridMultilevel"/>
    <w:lvl w:ilvl="0">
      <w:lvlJc w:val="left"/>
      <w:lvlText w:val="%1:"/>
      <w:numFmt w:val="lowerLetter"/>
      <w:start w:val="20"/>
    </w:lvl>
  </w:abstractNum>
  <w:abstractNum w:abstractNumId="56">
    <w:nsid w:val="8F2B15E"/>
    <w:multiLevelType w:val="hybridMultilevel"/>
    <w:lvl w:ilvl="0">
      <w:lvlJc w:val="left"/>
      <w:lvlText w:val="%1:"/>
      <w:numFmt w:val="lowerLetter"/>
      <w:start w:val="20"/>
    </w:lvl>
  </w:abstractNum>
  <w:abstractNum w:abstractNumId="57">
    <w:nsid w:val="1A32234B"/>
    <w:multiLevelType w:val="hybridMultilevel"/>
    <w:lvl w:ilvl="0">
      <w:lvlJc w:val="left"/>
      <w:lvlText w:val="(%1)"/>
      <w:numFmt w:val="lowerRoman"/>
      <w:start w:val="3"/>
    </w:lvl>
  </w:abstractNum>
  <w:abstractNum w:abstractNumId="58">
    <w:nsid w:val="3B0FD379"/>
    <w:multiLevelType w:val="hybridMultilevel"/>
    <w:lvl w:ilvl="0">
      <w:lvlJc w:val="left"/>
      <w:lvlText w:val="%1:"/>
      <w:numFmt w:val="lowerLetter"/>
      <w:start w:val="20"/>
    </w:lvl>
  </w:abstractNum>
  <w:abstractNum w:abstractNumId="59">
    <w:nsid w:val="68EB2F63"/>
    <w:multiLevelType w:val="hybridMultilevel"/>
    <w:lvl w:ilvl="0">
      <w:lvlJc w:val="left"/>
      <w:lvlText w:val="%1:"/>
      <w:numFmt w:val="lowerLetter"/>
      <w:start w:val="20"/>
    </w:lvl>
  </w:abstractNum>
  <w:abstractNum w:abstractNumId="60">
    <w:nsid w:val="4962813B"/>
    <w:multiLevelType w:val="hybridMultilevel"/>
    <w:lvl w:ilvl="0">
      <w:lvlJc w:val="left"/>
      <w:lvlText w:val="%1:"/>
      <w:numFmt w:val="lowerLetter"/>
      <w:start w:val="20"/>
    </w:lvl>
  </w:abstractNum>
  <w:abstractNum w:abstractNumId="61">
    <w:nsid w:val="60B6DF70"/>
    <w:multiLevelType w:val="hybridMultilevel"/>
    <w:lvl w:ilvl="0">
      <w:lvlJc w:val="left"/>
      <w:lvlText w:val="%1:"/>
      <w:numFmt w:val="lowerLetter"/>
      <w:start w:val="20"/>
    </w:lvl>
  </w:abstractNum>
  <w:abstractNum w:abstractNumId="62">
    <w:nsid w:val="6A5EE64"/>
    <w:multiLevelType w:val="hybridMultilevel"/>
    <w:lvl w:ilvl="0">
      <w:lvlJc w:val="left"/>
      <w:lvlText w:val="%1:"/>
      <w:numFmt w:val="lowerLetter"/>
      <w:start w:val="20"/>
    </w:lvl>
  </w:abstractNum>
  <w:abstractNum w:abstractNumId="63">
    <w:nsid w:val="14330624"/>
    <w:multiLevelType w:val="hybridMultilevel"/>
    <w:lvl w:ilvl="0">
      <w:lvlJc w:val="left"/>
      <w:lvlText w:val="%1:"/>
      <w:numFmt w:val="lowerLetter"/>
      <w:start w:val="20"/>
    </w:lvl>
  </w:abstractNum>
  <w:abstractNum w:abstractNumId="64">
    <w:nsid w:val="7FFFCA11"/>
    <w:multiLevelType w:val="hybridMultilevel"/>
    <w:lvl w:ilvl="0">
      <w:lvlJc w:val="left"/>
      <w:lvlText w:val="%1:"/>
      <w:numFmt w:val="lowerLetter"/>
      <w:start w:val="20"/>
    </w:lvl>
  </w:abstractNum>
  <w:abstractNum w:abstractNumId="65">
    <w:nsid w:val="1A27709E"/>
    <w:multiLevelType w:val="hybridMultilevel"/>
    <w:lvl w:ilvl="0">
      <w:lvlJc w:val="left"/>
      <w:lvlText w:val="%1:"/>
      <w:numFmt w:val="lowerLetter"/>
      <w:start w:val="20"/>
    </w:lvl>
  </w:abstractNum>
  <w:abstractNum w:abstractNumId="66">
    <w:nsid w:val="71EA1109"/>
    <w:multiLevelType w:val="hybridMultilevel"/>
    <w:lvl w:ilvl="0">
      <w:lvlJc w:val="left"/>
      <w:lvlText w:val="%1:"/>
      <w:numFmt w:val="lowerLetter"/>
      <w:start w:val="20"/>
    </w:lvl>
  </w:abstractNum>
  <w:abstractNum w:abstractNumId="67">
    <w:nsid w:val="100F59DC"/>
    <w:multiLevelType w:val="hybridMultilevel"/>
    <w:lvl w:ilvl="0">
      <w:lvlJc w:val="left"/>
      <w:lvlText w:val="%1:"/>
      <w:numFmt w:val="lowerLetter"/>
      <w:start w:val="20"/>
    </w:lvl>
  </w:abstractNum>
  <w:abstractNum w:abstractNumId="68">
    <w:nsid w:val="7FB7E0AA"/>
    <w:multiLevelType w:val="hybridMultilevel"/>
    <w:lvl w:ilvl="0">
      <w:lvlJc w:val="left"/>
      <w:lvlText w:val="%1:"/>
      <w:numFmt w:val="lowerLetter"/>
      <w:start w:val="20"/>
    </w:lvl>
  </w:abstractNum>
  <w:abstractNum w:abstractNumId="69">
    <w:nsid w:val="6EB5BD4"/>
    <w:multiLevelType w:val="hybridMultilevel"/>
    <w:lvl w:ilvl="0">
      <w:lvlJc w:val="left"/>
      <w:lvlText w:val="%1:"/>
      <w:numFmt w:val="lowerLetter"/>
      <w:start w:val="20"/>
    </w:lvl>
  </w:abstractNum>
  <w:abstractNum w:abstractNumId="70">
    <w:nsid w:val="6F6DD9AC"/>
    <w:multiLevelType w:val="hybridMultilevel"/>
    <w:lvl w:ilvl="0">
      <w:lvlJc w:val="left"/>
      <w:lvlText w:val="%1:"/>
      <w:numFmt w:val="lowerLetter"/>
      <w:start w:val="20"/>
    </w:lvl>
  </w:abstractNum>
  <w:abstractNum w:abstractNumId="71">
    <w:nsid w:val="94211F2"/>
    <w:multiLevelType w:val="hybridMultilevel"/>
    <w:lvl w:ilvl="0">
      <w:lvlJc w:val="left"/>
      <w:lvlText w:val="%1:"/>
      <w:numFmt w:val="lowerLetter"/>
      <w:start w:val="20"/>
    </w:lvl>
  </w:abstractNum>
  <w:abstractNum w:abstractNumId="72">
    <w:nsid w:val="885E1B"/>
    <w:multiLevelType w:val="hybridMultilevel"/>
    <w:lvl w:ilvl="0">
      <w:lvlJc w:val="left"/>
      <w:lvlText w:val="(%1)"/>
      <w:numFmt w:val="lowerRoman"/>
      <w:start w:val="3"/>
    </w:lvl>
  </w:abstractNum>
  <w:abstractNum w:abstractNumId="73">
    <w:nsid w:val="76272110"/>
    <w:multiLevelType w:val="hybridMultilevel"/>
    <w:lvl w:ilvl="0">
      <w:lvlJc w:val="left"/>
      <w:lvlText w:val="%1:"/>
      <w:numFmt w:val="lowerLetter"/>
      <w:start w:val="20"/>
    </w:lvl>
  </w:abstractNum>
  <w:abstractNum w:abstractNumId="74">
    <w:nsid w:val="4C04A8AF"/>
    <w:multiLevelType w:val="hybridMultilevel"/>
    <w:lvl w:ilvl="0">
      <w:lvlJc w:val="left"/>
      <w:lvlText w:val="%1:"/>
      <w:numFmt w:val="lowerLetter"/>
      <w:start w:val="20"/>
    </w:lvl>
  </w:abstractNum>
  <w:abstractNum w:abstractNumId="75">
    <w:nsid w:val="1716703B"/>
    <w:multiLevelType w:val="hybridMultilevel"/>
    <w:lvl w:ilvl="0">
      <w:lvlJc w:val="left"/>
      <w:lvlText w:val="%1:"/>
      <w:numFmt w:val="lowerLetter"/>
      <w:start w:val="20"/>
    </w:lvl>
  </w:abstractNum>
  <w:abstractNum w:abstractNumId="76">
    <w:nsid w:val="14E17E33"/>
    <w:multiLevelType w:val="hybridMultilevel"/>
    <w:lvl w:ilvl="0">
      <w:lvlJc w:val="left"/>
      <w:lvlText w:val="%1:"/>
      <w:numFmt w:val="lowerLetter"/>
      <w:start w:val="20"/>
    </w:lvl>
  </w:abstractNum>
  <w:abstractNum w:abstractNumId="77">
    <w:nsid w:val="3222E7CD"/>
    <w:multiLevelType w:val="hybridMultilevel"/>
    <w:lvl w:ilvl="0">
      <w:lvlJc w:val="left"/>
      <w:lvlText w:val="%1:"/>
      <w:numFmt w:val="lowerLetter"/>
      <w:start w:val="20"/>
    </w:lvl>
  </w:abstractNum>
  <w:abstractNum w:abstractNumId="78">
    <w:nsid w:val="74DE0EE3"/>
    <w:multiLevelType w:val="hybridMultilevel"/>
    <w:lvl w:ilvl="0">
      <w:lvlJc w:val="left"/>
      <w:lvlText w:val="%1:"/>
      <w:numFmt w:val="lowerLetter"/>
      <w:start w:val="20"/>
    </w:lvl>
  </w:abstractNum>
  <w:abstractNum w:abstractNumId="79">
    <w:nsid w:val="68EBC550"/>
    <w:multiLevelType w:val="hybridMultilevel"/>
    <w:lvl w:ilvl="0">
      <w:lvlJc w:val="left"/>
      <w:lvlText w:val="%1:"/>
      <w:numFmt w:val="lowerLetter"/>
      <w:start w:val="20"/>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2">
    <w:nsid w:val="4A2AC315"/>
    <w:multiLevelType w:val="hybridMultilevel"/>
    <w:lvl w:ilvl="0">
      <w:lvlJc w:val="left"/>
      <w:lvlText w:val="%1."/>
      <w:numFmt w:val="decimal"/>
      <w:start w:val="3"/>
    </w:lvl>
    <w:lvl w:ilvl="1">
      <w:lvlJc w:val="left"/>
      <w:lvlText w:val="(%2)"/>
      <w:numFmt w:val="lowerLetter"/>
      <w:start w:val="1"/>
    </w:lvl>
  </w:abstractNum>
  <w:abstractNum w:abstractNumId="83">
    <w:nsid w:val="39EE01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84">
    <w:nsid w:val="57FC4FB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85">
    <w:nsid w:val="CC1016F"/>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86">
    <w:nsid w:val="43F18422"/>
    <w:multiLevelType w:val="hybridMultilevel"/>
    <w:lvl w:ilvl="0">
      <w:lvlJc w:val="left"/>
      <w:lvlText w:val="%1"/>
      <w:numFmt w:val="decimal"/>
      <w:start w:val="1"/>
    </w:lvl>
    <w:lvl w:ilvl="1">
      <w:lvlJc w:val="left"/>
      <w:lvlText w:val="(%2)"/>
      <w:numFmt w:val="lowerLetter"/>
      <w:start w:val="2"/>
    </w:lvl>
  </w:abstractNum>
  <w:abstractNum w:abstractNumId="87">
    <w:nsid w:val="60EF0119"/>
    <w:multiLevelType w:val="hybridMultilevel"/>
    <w:lvl w:ilvl="0">
      <w:lvlJc w:val="left"/>
      <w:lvlText w:val="%1."/>
      <w:numFmt w:val="decimal"/>
      <w:start w:val="5"/>
    </w:lvl>
    <w:lvl w:ilvl="1">
      <w:lvlJc w:val="left"/>
      <w:lvlText w:val="(%2)"/>
      <w:numFmt w:val="lowerLetter"/>
      <w:start w:val="1"/>
    </w:lvl>
  </w:abstractNum>
  <w:abstractNum w:abstractNumId="88">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9">
    <w:nsid w:val="7F01579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90">
    <w:nsid w:val="49DA307D"/>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91">
    <w:nsid w:val="7055A5F5"/>
    <w:multiLevelType w:val="hybridMultilevel"/>
    <w:lvl w:ilvl="0">
      <w:lvlJc w:val="left"/>
      <w:lvlText w:val="(%1)"/>
      <w:numFmt w:val="lowerLetter"/>
      <w:start w:val="2"/>
    </w:lvl>
  </w:abstractNum>
  <w:abstractNum w:abstractNumId="92">
    <w:nsid w:val="5FB8370B"/>
    <w:multiLevelType w:val="hybridMultilevel"/>
    <w:lvl w:ilvl="0">
      <w:lvlJc w:val="left"/>
      <w:lvlText w:val="(%1)"/>
      <w:numFmt w:val="lowerLetter"/>
      <w:start w:val="4"/>
    </w:lvl>
  </w:abstractNum>
  <w:abstractNum w:abstractNumId="93">
    <w:nsid w:val="50801EE1"/>
    <w:multiLevelType w:val="hybridMultilevel"/>
    <w:lvl w:ilvl="0">
      <w:lvlJc w:val="left"/>
      <w:lvlText w:val="(%1)"/>
      <w:numFmt w:val="lowerLetter"/>
      <w:start w:val="7"/>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2019-12-09T19:45:08Z</dcterms:created>
  <dcterms:modified xsi:type="dcterms:W3CDTF">2019-12-09T19:45:08Z</dcterms:modified>
</cp:coreProperties>
</file>